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Financial and Activity Record</w:t>
      </w:r>
    </w:p>
    <w:p>
      <w:r>
        <w:t>Evidence Number: TRI-TEST-001-EV-002</w:t>
      </w:r>
    </w:p>
    <w:p>
      <w:r>
        <w:t>Evidence Type: Financial Activity</w:t>
      </w:r>
    </w:p>
    <w:p/>
    <w:p>
      <w:r>
        <w:t>Case: TRI-TEST-001 — Harbor Procurement Review</w:t>
      </w:r>
    </w:p>
    <w:p/>
    <w:p>
      <w:r>
        <w:t>Blue Harbor Supplies has a banking relationship with Cedar Bank.</w:t>
      </w:r>
    </w:p>
    <w:p>
      <w:r>
        <w:t>Arjun Rao communicated with Blue Harbor Supplies personnel regarding a recorded procurement activity.</w:t>
      </w:r>
    </w:p>
    <w:p>
      <w:r>
        <w:t>Arjun Rao transferred funds to Cedar Bank in connection with the recorded business activity.</w:t>
      </w:r>
    </w:p>
    <w:p>
      <w:r>
        <w:t>This record is synthetic and intended for TRINETRA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