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86148d5b89ffc55abedd39d63bdcc7ffec3e08"/>
    <w:p>
      <w:pPr>
        <w:pStyle w:val="Heading1"/>
      </w:pPr>
      <w:r>
        <w:t xml:space="preserve">Corporate Land and Biodiversity Index (CLBI) v1.1: how it works</w:t>
      </w:r>
    </w:p>
    <w:p>
      <w:pPr>
        <w:pStyle w:val="FirstParagraph"/>
      </w:pPr>
      <w:r>
        <w:rPr>
          <w:bCs/>
          <w:b/>
        </w:rPr>
        <w:t xml:space="preserve">Draft for Landstack · Urvara.Life · 27 October 2026 · For discussion, not for publication</w:t>
      </w:r>
    </w:p>
    <w:bookmarkStart w:id="20" w:name="in-one-paragraph"/>
    <w:p>
      <w:pPr>
        <w:pStyle w:val="Heading2"/>
      </w:pPr>
      <w:r>
        <w:t xml:space="preserve">1. In one paragraph</w:t>
      </w:r>
    </w:p>
    <w:p>
      <w:pPr>
        <w:pStyle w:val="FirstParagraph"/>
      </w:pPr>
      <w:r>
        <w:t xml:space="preserve">CLBI compares India’s 500 largest listed companies with others</w:t>
      </w:r>
      <w:r>
        <w:t xml:space="preserve"> </w:t>
      </w:r>
      <w:r>
        <w:rPr>
          <w:bCs/>
          <w:b/>
        </w:rPr>
        <w:t xml:space="preserve">in the same sector</w:t>
      </w:r>
      <w:r>
        <w:t xml:space="preserve">. It asks one question:</w:t>
      </w:r>
      <w:r>
        <w:t xml:space="preserve"> </w:t>
      </w:r>
      <w:r>
        <w:rPr>
          <w:iCs/>
          <w:i/>
        </w:rPr>
        <w:t xml:space="preserve">how much pressure on nature does each company report, for every rupee it earns?</w:t>
      </w:r>
      <w:r>
        <w:t xml:space="preserve"> </w:t>
      </w:r>
      <w:r>
        <w:t xml:space="preserve">It looks at three pressures, greenhouse gases, water and waste, all for the year April 2025 to March 2026. Each value comes from what the company itself has published, and each one can be traced to its page and source. The maths is simple enough to check by hand.</w:t>
      </w:r>
    </w:p>
    <w:p>
      <w:pPr>
        <w:pStyle w:val="BodyText"/>
      </w:pPr>
      <w:r>
        <w:rPr>
          <w:bCs/>
          <w:b/>
        </w:rPr>
        <w:t xml:space="preserve">What a rank means.</w:t>
      </w:r>
      <w:r>
        <w:t xml:space="preserve"> </w:t>
      </w:r>
      <w:r>
        <w:t xml:space="preserve">Rank 1 means that, among its sector peers, the company reported the lowest pressure per rupee of revenue. It does</w:t>
      </w:r>
      <w:r>
        <w:t xml:space="preserve"> </w:t>
      </w:r>
      <w:r>
        <w:rPr>
          <w:iCs/>
          <w:i/>
        </w:rPr>
        <w:t xml:space="preserve">not</w:t>
      </w:r>
      <w:r>
        <w:t xml:space="preserve"> </w:t>
      </w:r>
      <w:r>
        <w:t xml:space="preserve">mean the company’s footprint is small in absolute terms, or that it is good for biodiversity.</w:t>
      </w:r>
    </w:p>
    <w:p>
      <w:pPr>
        <w:pStyle w:val="BodyText"/>
      </w:pPr>
      <w:r>
        <w:rPr>
          <w:bCs/>
          <w:b/>
        </w:rPr>
        <w:t xml:space="preserve">What CLBI is not:</w:t>
      </w:r>
    </w:p>
    <w:p>
      <w:pPr>
        <w:numPr>
          <w:ilvl w:val="0"/>
          <w:numId w:val="1001"/>
        </w:numPr>
        <w:pStyle w:val="Compact"/>
      </w:pPr>
      <w:r>
        <w:t xml:space="preserve">a measure of biodiversity impact or of nature-related risk;</w:t>
      </w:r>
    </w:p>
    <w:p>
      <w:pPr>
        <w:numPr>
          <w:ilvl w:val="0"/>
          <w:numId w:val="1001"/>
        </w:numPr>
        <w:pStyle w:val="Compact"/>
      </w:pPr>
      <w:r>
        <w:t xml:space="preserve">an ESG rating;</w:t>
      </w:r>
    </w:p>
    <w:p>
      <w:pPr>
        <w:numPr>
          <w:ilvl w:val="0"/>
          <w:numId w:val="1001"/>
        </w:numPr>
        <w:pStyle w:val="Compact"/>
      </w:pPr>
      <w:r>
        <w:t xml:space="preserve">a ranking across sectors (a cement maker is never compared with a bank);</w:t>
      </w:r>
    </w:p>
    <w:p>
      <w:pPr>
        <w:numPr>
          <w:ilvl w:val="0"/>
          <w:numId w:val="1001"/>
        </w:numPr>
        <w:pStyle w:val="Compact"/>
      </w:pPr>
      <w:r>
        <w:t xml:space="preserve">a judgement that any company has done something wrong.</w:t>
      </w:r>
    </w:p>
    <w:bookmarkEnd w:id="20"/>
    <w:bookmarkStart w:id="21" w:name="principles"/>
    <w:p>
      <w:pPr>
        <w:pStyle w:val="Heading2"/>
      </w:pPr>
      <w:r>
        <w:t xml:space="preserve">2. Principles</w:t>
      </w:r>
    </w:p>
    <w:p>
      <w:pPr>
        <w:numPr>
          <w:ilvl w:val="0"/>
          <w:numId w:val="1002"/>
        </w:numPr>
        <w:pStyle w:val="Compact"/>
      </w:pPr>
      <w:r>
        <w:rPr>
          <w:bCs/>
          <w:b/>
        </w:rPr>
        <w:t xml:space="preserve">Company data only.</w:t>
      </w:r>
      <w:r>
        <w:t xml:space="preserve"> </w:t>
      </w:r>
      <w:r>
        <w:t xml:space="preserve">Ranks use only what companies themselves report. Nothing estimated or modelled enters a rank, and a blank stays blank. The land ratios and prices in the pilot and annex are clearly labelled as research-based.</w:t>
      </w:r>
    </w:p>
    <w:p>
      <w:pPr>
        <w:numPr>
          <w:ilvl w:val="0"/>
          <w:numId w:val="1002"/>
        </w:numPr>
        <w:pStyle w:val="Compact"/>
      </w:pPr>
      <w:r>
        <w:rPr>
          <w:bCs/>
          <w:b/>
        </w:rPr>
        <w:t xml:space="preserve">Every number traceable.</w:t>
      </w:r>
      <w:r>
        <w:t xml:space="preserve"> </w:t>
      </w:r>
      <w:r>
        <w:t xml:space="preserve">Each value carries its source link, page or filing field, and confidence tier. Values from reports also carry the exact words quoted from the report.</w:t>
      </w:r>
    </w:p>
    <w:p>
      <w:pPr>
        <w:numPr>
          <w:ilvl w:val="0"/>
          <w:numId w:val="1002"/>
        </w:numPr>
        <w:pStyle w:val="Compact"/>
      </w:pPr>
      <w:r>
        <w:rPr>
          <w:bCs/>
          <w:b/>
        </w:rPr>
        <w:t xml:space="preserve">Compare like with like.</w:t>
      </w:r>
      <w:r>
        <w:t xml:space="preserve"> </w:t>
      </w:r>
      <w:r>
        <w:t xml:space="preserve">Companies are compared only within their sector, and only where at least 10 companies have complete data.</w:t>
      </w:r>
    </w:p>
    <w:p>
      <w:pPr>
        <w:numPr>
          <w:ilvl w:val="0"/>
          <w:numId w:val="1002"/>
        </w:numPr>
        <w:pStyle w:val="Compact"/>
      </w:pPr>
      <w:r>
        <w:rPr>
          <w:bCs/>
          <w:b/>
        </w:rPr>
        <w:t xml:space="preserve">Simple, open maths.</w:t>
      </w:r>
      <w:r>
        <w:t xml:space="preserve"> </w:t>
      </w:r>
      <w:r>
        <w:t xml:space="preserve">Anyone with the same data can reproduce every score. The dataset recomputes them with spreadsheet formulas.</w:t>
      </w:r>
    </w:p>
    <w:p>
      <w:pPr>
        <w:numPr>
          <w:ilvl w:val="0"/>
          <w:numId w:val="1002"/>
        </w:numPr>
        <w:pStyle w:val="Compact"/>
      </w:pPr>
      <w:r>
        <w:rPr>
          <w:bCs/>
          <w:b/>
        </w:rPr>
        <w:t xml:space="preserve">Doubtful values are held back.</w:t>
      </w:r>
      <w:r>
        <w:t xml:space="preserve"> </w:t>
      </w:r>
      <w:r>
        <w:t xml:space="preserve">A value that looks wrong is not scored until the company confirms it, even if it is printed in the filing.</w:t>
      </w:r>
    </w:p>
    <w:p>
      <w:pPr>
        <w:numPr>
          <w:ilvl w:val="0"/>
          <w:numId w:val="1002"/>
        </w:numPr>
        <w:pStyle w:val="Compact"/>
      </w:pPr>
      <w:r>
        <w:rPr>
          <w:bCs/>
          <w:b/>
        </w:rPr>
        <w:t xml:space="preserve">Credit is small and never offsets pressure.</w:t>
      </w:r>
      <w:r>
        <w:t xml:space="preserve"> </w:t>
      </w:r>
      <w:r>
        <w:t xml:space="preserve">Restoration, recycling and renewable electricity earn a few points; they do not cancel emissions or water use.</w:t>
      </w:r>
    </w:p>
    <w:bookmarkEnd w:id="21"/>
    <w:bookmarkStart w:id="22" w:name="which-companies"/>
    <w:p>
      <w:pPr>
        <w:pStyle w:val="Heading2"/>
      </w:pPr>
      <w:r>
        <w:t xml:space="preserve">3. Which companies</w:t>
      </w:r>
    </w:p>
    <w:p>
      <w:pPr>
        <w:pStyle w:val="FirstParagraph"/>
      </w:pPr>
      <w:r>
        <w:t xml:space="preserve">The universe is the</w:t>
      </w:r>
      <w:r>
        <w:t xml:space="preserve"> </w:t>
      </w:r>
      <w:r>
        <w:rPr>
          <w:bCs/>
          <w:b/>
        </w:rPr>
        <w:t xml:space="preserve">500 NSE-listed companies with the highest average market capitalisation</w:t>
      </w:r>
      <w:r>
        <w:t xml:space="preserve"> </w:t>
      </w:r>
      <w:r>
        <w:t xml:space="preserve">over January–June 2026, as published by AMFI. REITs, InvITs and trusts are excluded.</w:t>
      </w:r>
    </w:p>
    <w:p>
      <w:pPr>
        <w:pStyle w:val="BodyText"/>
      </w:pPr>
      <w:r>
        <w:t xml:space="preserve">Companies are grouped by the</w:t>
      </w:r>
      <w:r>
        <w:t xml:space="preserve"> </w:t>
      </w:r>
      <w:r>
        <w:rPr>
          <w:bCs/>
          <w:b/>
        </w:rPr>
        <w:t xml:space="preserve">NSE’s own 22-sector classification</w:t>
      </w:r>
      <w:r>
        <w:t xml:space="preserve">. Financial Services is split into sub-groups (banks, lenders, capital-market firms), because these businesses are too different to compare with each other.</w:t>
      </w:r>
    </w:p>
    <w:p>
      <w:pPr>
        <w:pStyle w:val="BodyText"/>
      </w:pPr>
      <w:r>
        <w:t xml:space="preserve">A group is ranked only if</w:t>
      </w:r>
      <w:r>
        <w:t xml:space="preserve"> </w:t>
      </w:r>
      <w:r>
        <w:rPr>
          <w:bCs/>
          <w:b/>
        </w:rPr>
        <w:t xml:space="preserve">at least 10 of its companies</w:t>
      </w:r>
      <w:r>
        <w:t xml:space="preserve"> </w:t>
      </w:r>
      <w:r>
        <w:t xml:space="preserve">have complete data. This gives</w:t>
      </w:r>
      <w:r>
        <w:t xml:space="preserve"> </w:t>
      </w:r>
      <w:r>
        <w:rPr>
          <w:bCs/>
          <w:b/>
        </w:rPr>
        <w:t xml:space="preserve">373 ranked companies in 16 groups</w:t>
      </w:r>
      <w:r>
        <w:t xml:space="preserve">. The breakdown is below.</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4064"/>
        <w:gridCol w:w="1354"/>
        <w:gridCol w:w="1146"/>
        <w:gridCol w:w="1354"/>
      </w:tblGrid>
      <w:tr>
        <w:trPr>
          <w:tblHeader w:val="true"/>
        </w:trPr>
        <w:tc>
          <w:tcPr/>
          <w:p>
            <w:pPr>
              <w:pStyle w:val="Compact"/>
              <w:jc w:val="left"/>
            </w:pPr>
            <w:r>
              <w:rPr>
                <w:rFonts w:ascii="Garamond" w:hAnsi="Garamond"/>
                <w:b/>
                <w:color w:val="1C3F2C"/>
                <w:sz w:val="19"/>
              </w:rPr>
              <w:t xml:space="preserve">Peer group</w:t>
            </w:r>
          </w:p>
        </w:tc>
        <w:tc>
          <w:tcPr/>
          <w:p>
            <w:pPr>
              <w:pStyle w:val="Compact"/>
              <w:jc w:val="right"/>
            </w:pPr>
            <w:r>
              <w:rPr>
                <w:rFonts w:ascii="Garamond" w:hAnsi="Garamond"/>
                <w:b/>
                <w:color w:val="1C3F2C"/>
                <w:sz w:val="19"/>
              </w:rPr>
              <w:t xml:space="preserve">Companies</w:t>
            </w:r>
          </w:p>
        </w:tc>
        <w:tc>
          <w:tcPr/>
          <w:p>
            <w:pPr>
              <w:pStyle w:val="Compact"/>
              <w:jc w:val="right"/>
            </w:pPr>
            <w:r>
              <w:rPr>
                <w:rFonts w:ascii="Garamond" w:hAnsi="Garamond"/>
                <w:b/>
                <w:color w:val="1C3F2C"/>
                <w:sz w:val="19"/>
              </w:rPr>
              <w:t xml:space="preserve">Ranked</w:t>
            </w:r>
          </w:p>
        </w:tc>
        <w:tc>
          <w:tcPr/>
          <w:p>
            <w:pPr>
              <w:pStyle w:val="Compact"/>
              <w:jc w:val="right"/>
            </w:pPr>
            <w:r>
              <w:rPr>
                <w:rFonts w:ascii="Garamond" w:hAnsi="Garamond"/>
                <w:b/>
                <w:color w:val="1C3F2C"/>
                <w:sz w:val="19"/>
              </w:rPr>
              <w:t xml:space="preserve">Also ranked on air</w:t>
            </w:r>
          </w:p>
        </w:tc>
      </w:tr>
      <w:tr>
        <w:tc>
          <w:tcPr/>
          <w:p>
            <w:pPr>
              <w:pStyle w:val="Compact"/>
              <w:jc w:val="left"/>
            </w:pPr>
            <w:r>
              <w:rPr>
                <w:rFonts w:ascii="Garamond" w:hAnsi="Garamond"/>
                <w:sz w:val="19"/>
              </w:rPr>
              <w:t xml:space="preserve">Capital Goods</w:t>
            </w:r>
          </w:p>
        </w:tc>
        <w:tc>
          <w:tcPr/>
          <w:p>
            <w:pPr>
              <w:pStyle w:val="Compact"/>
              <w:jc w:val="right"/>
            </w:pPr>
            <w:r>
              <w:rPr>
                <w:rFonts w:ascii="Garamond" w:hAnsi="Garamond"/>
                <w:sz w:val="19"/>
              </w:rPr>
              <w:t xml:space="preserve">68</w:t>
            </w:r>
          </w:p>
        </w:tc>
        <w:tc>
          <w:tcPr/>
          <w:p>
            <w:pPr>
              <w:pStyle w:val="Compact"/>
              <w:jc w:val="right"/>
            </w:pPr>
            <w:r>
              <w:rPr>
                <w:rFonts w:ascii="Garamond" w:hAnsi="Garamond"/>
                <w:sz w:val="19"/>
              </w:rPr>
              <w:t xml:space="preserve">55</w:t>
            </w:r>
          </w:p>
        </w:tc>
        <w:tc>
          <w:tcPr/>
          <w:p>
            <w:pPr>
              <w:pStyle w:val="Compact"/>
              <w:jc w:val="right"/>
            </w:pPr>
            <w:r>
              <w:rPr>
                <w:rFonts w:ascii="Garamond" w:hAnsi="Garamond"/>
                <w:sz w:val="19"/>
              </w:rPr>
              <w:t xml:space="preserve">26</w:t>
            </w:r>
          </w:p>
        </w:tc>
      </w:tr>
      <w:tr>
        <w:tc>
          <w:tcPr/>
          <w:p>
            <w:pPr>
              <w:pStyle w:val="Compact"/>
              <w:jc w:val="left"/>
            </w:pPr>
            <w:r>
              <w:rPr>
                <w:rFonts w:ascii="Garamond" w:hAnsi="Garamond"/>
                <w:sz w:val="19"/>
              </w:rPr>
              <w:t xml:space="preserve">Healthcare</w:t>
            </w:r>
          </w:p>
        </w:tc>
        <w:tc>
          <w:tcPr/>
          <w:p>
            <w:pPr>
              <w:pStyle w:val="Compact"/>
              <w:jc w:val="right"/>
            </w:pPr>
            <w:r>
              <w:rPr>
                <w:rFonts w:ascii="Garamond" w:hAnsi="Garamond"/>
                <w:sz w:val="19"/>
              </w:rPr>
              <w:t xml:space="preserve">51</w:t>
            </w:r>
          </w:p>
        </w:tc>
        <w:tc>
          <w:tcPr/>
          <w:p>
            <w:pPr>
              <w:pStyle w:val="Compact"/>
              <w:jc w:val="right"/>
            </w:pPr>
            <w:r>
              <w:rPr>
                <w:rFonts w:ascii="Garamond" w:hAnsi="Garamond"/>
                <w:sz w:val="19"/>
              </w:rPr>
              <w:t xml:space="preserve">50</w:t>
            </w:r>
          </w:p>
        </w:tc>
        <w:tc>
          <w:tcPr/>
          <w:p>
            <w:pPr>
              <w:pStyle w:val="Compact"/>
              <w:jc w:val="right"/>
            </w:pPr>
            <w:r>
              <w:rPr>
                <w:rFonts w:ascii="Garamond" w:hAnsi="Garamond"/>
                <w:sz w:val="19"/>
              </w:rPr>
              <w:t xml:space="preserve">31</w:t>
            </w:r>
          </w:p>
        </w:tc>
      </w:tr>
      <w:tr>
        <w:tc>
          <w:tcPr/>
          <w:p>
            <w:pPr>
              <w:pStyle w:val="Compact"/>
              <w:jc w:val="left"/>
            </w:pPr>
            <w:r>
              <w:rPr>
                <w:rFonts w:ascii="Garamond" w:hAnsi="Garamond"/>
                <w:sz w:val="19"/>
              </w:rPr>
              <w:t xml:space="preserve">Automobile &amp; Auto Components</w:t>
            </w:r>
          </w:p>
        </w:tc>
        <w:tc>
          <w:tcPr/>
          <w:p>
            <w:pPr>
              <w:pStyle w:val="Compact"/>
              <w:jc w:val="right"/>
            </w:pPr>
            <w:r>
              <w:rPr>
                <w:rFonts w:ascii="Garamond" w:hAnsi="Garamond"/>
                <w:sz w:val="19"/>
              </w:rPr>
              <w:t xml:space="preserve">39</w:t>
            </w:r>
          </w:p>
        </w:tc>
        <w:tc>
          <w:tcPr/>
          <w:p>
            <w:pPr>
              <w:pStyle w:val="Compact"/>
              <w:jc w:val="right"/>
            </w:pPr>
            <w:r>
              <w:rPr>
                <w:rFonts w:ascii="Garamond" w:hAnsi="Garamond"/>
                <w:sz w:val="19"/>
              </w:rPr>
              <w:t xml:space="preserve">35</w:t>
            </w:r>
          </w:p>
        </w:tc>
        <w:tc>
          <w:tcPr/>
          <w:p>
            <w:pPr>
              <w:pStyle w:val="Compact"/>
              <w:jc w:val="right"/>
            </w:pPr>
            <w:r>
              <w:rPr>
                <w:rFonts w:ascii="Garamond" w:hAnsi="Garamond"/>
                <w:sz w:val="19"/>
              </w:rPr>
              <w:t xml:space="preserve">24</w:t>
            </w:r>
          </w:p>
        </w:tc>
      </w:tr>
      <w:tr>
        <w:tc>
          <w:tcPr/>
          <w:p>
            <w:pPr>
              <w:pStyle w:val="Compact"/>
              <w:jc w:val="left"/>
            </w:pPr>
            <w:r>
              <w:rPr>
                <w:rFonts w:ascii="Garamond" w:hAnsi="Garamond"/>
                <w:sz w:val="19"/>
              </w:rPr>
              <w:t xml:space="preserve">Fast Moving Consumer Goods</w:t>
            </w:r>
          </w:p>
        </w:tc>
        <w:tc>
          <w:tcPr/>
          <w:p>
            <w:pPr>
              <w:pStyle w:val="Compact"/>
              <w:jc w:val="right"/>
            </w:pPr>
            <w:r>
              <w:rPr>
                <w:rFonts w:ascii="Garamond" w:hAnsi="Garamond"/>
                <w:sz w:val="19"/>
              </w:rPr>
              <w:t xml:space="preserve">30</w:t>
            </w:r>
          </w:p>
        </w:tc>
        <w:tc>
          <w:tcPr/>
          <w:p>
            <w:pPr>
              <w:pStyle w:val="Compact"/>
              <w:jc w:val="right"/>
            </w:pPr>
            <w:r>
              <w:rPr>
                <w:rFonts w:ascii="Garamond" w:hAnsi="Garamond"/>
                <w:sz w:val="19"/>
              </w:rPr>
              <w:t xml:space="preserve">26</w:t>
            </w:r>
          </w:p>
        </w:tc>
        <w:tc>
          <w:tcPr/>
          <w:p>
            <w:pPr>
              <w:pStyle w:val="Compact"/>
              <w:jc w:val="right"/>
            </w:pPr>
            <w:r>
              <w:rPr>
                <w:rFonts w:ascii="Garamond" w:hAnsi="Garamond"/>
                <w:sz w:val="19"/>
              </w:rPr>
              <w:t xml:space="preserve">23</w:t>
            </w:r>
          </w:p>
        </w:tc>
      </w:tr>
      <w:tr>
        <w:tc>
          <w:tcPr/>
          <w:p>
            <w:pPr>
              <w:pStyle w:val="Compact"/>
              <w:jc w:val="left"/>
            </w:pPr>
            <w:r>
              <w:rPr>
                <w:rFonts w:ascii="Garamond" w:hAnsi="Garamond"/>
                <w:sz w:val="19"/>
              </w:rPr>
              <w:t xml:space="preserve">Chemicals</w:t>
            </w:r>
          </w:p>
        </w:tc>
        <w:tc>
          <w:tcPr/>
          <w:p>
            <w:pPr>
              <w:pStyle w:val="Compact"/>
              <w:jc w:val="right"/>
            </w:pPr>
            <w:r>
              <w:rPr>
                <w:rFonts w:ascii="Garamond" w:hAnsi="Garamond"/>
                <w:sz w:val="19"/>
              </w:rPr>
              <w:t xml:space="preserve">27</w:t>
            </w:r>
          </w:p>
        </w:tc>
        <w:tc>
          <w:tcPr/>
          <w:p>
            <w:pPr>
              <w:pStyle w:val="Compact"/>
              <w:jc w:val="right"/>
            </w:pPr>
            <w:r>
              <w:rPr>
                <w:rFonts w:ascii="Garamond" w:hAnsi="Garamond"/>
                <w:sz w:val="19"/>
              </w:rPr>
              <w:t xml:space="preserve">26</w:t>
            </w:r>
          </w:p>
        </w:tc>
        <w:tc>
          <w:tcPr/>
          <w:p>
            <w:pPr>
              <w:pStyle w:val="Compact"/>
              <w:jc w:val="right"/>
            </w:pPr>
            <w:r>
              <w:rPr>
                <w:rFonts w:ascii="Garamond" w:hAnsi="Garamond"/>
                <w:sz w:val="19"/>
              </w:rPr>
              <w:t xml:space="preserve">21</w:t>
            </w:r>
          </w:p>
        </w:tc>
      </w:tr>
      <w:tr>
        <w:tc>
          <w:tcPr/>
          <w:p>
            <w:pPr>
              <w:pStyle w:val="Compact"/>
              <w:jc w:val="left"/>
            </w:pPr>
            <w:r>
              <w:rPr>
                <w:rFonts w:ascii="Garamond" w:hAnsi="Garamond"/>
                <w:sz w:val="19"/>
              </w:rPr>
              <w:t xml:space="preserve">Consumer Services</w:t>
            </w:r>
          </w:p>
        </w:tc>
        <w:tc>
          <w:tcPr/>
          <w:p>
            <w:pPr>
              <w:pStyle w:val="Compact"/>
              <w:jc w:val="right"/>
            </w:pPr>
            <w:r>
              <w:rPr>
                <w:rFonts w:ascii="Garamond" w:hAnsi="Garamond"/>
                <w:sz w:val="19"/>
              </w:rPr>
              <w:t xml:space="preserve">26</w:t>
            </w:r>
          </w:p>
        </w:tc>
        <w:tc>
          <w:tcPr/>
          <w:p>
            <w:pPr>
              <w:pStyle w:val="Compact"/>
              <w:jc w:val="right"/>
            </w:pPr>
            <w:r>
              <w:rPr>
                <w:rFonts w:ascii="Garamond" w:hAnsi="Garamond"/>
                <w:sz w:val="19"/>
              </w:rPr>
              <w:t xml:space="preserve">18</w:t>
            </w:r>
          </w:p>
        </w:tc>
        <w:tc>
          <w:tcPr/>
          <w:p>
            <w:pPr>
              <w:pStyle w:val="Compact"/>
              <w:jc w:val="right"/>
            </w:pPr>
            <w:r>
              <w:rPr>
                <w:rFonts w:ascii="Garamond" w:hAnsi="Garamond"/>
                <w:sz w:val="19"/>
              </w:rPr>
              <w:t xml:space="preserve">10</w:t>
            </w:r>
          </w:p>
        </w:tc>
      </w:tr>
      <w:tr>
        <w:tc>
          <w:tcPr/>
          <w:p>
            <w:pPr>
              <w:pStyle w:val="Compact"/>
              <w:jc w:val="left"/>
            </w:pPr>
            <w:r>
              <w:rPr>
                <w:rFonts w:ascii="Garamond" w:hAnsi="Garamond"/>
                <w:sz w:val="19"/>
              </w:rPr>
              <w:t xml:space="preserve">Information Technology</w:t>
            </w:r>
          </w:p>
        </w:tc>
        <w:tc>
          <w:tcPr/>
          <w:p>
            <w:pPr>
              <w:pStyle w:val="Compact"/>
              <w:jc w:val="right"/>
            </w:pPr>
            <w:r>
              <w:rPr>
                <w:rFonts w:ascii="Garamond" w:hAnsi="Garamond"/>
                <w:sz w:val="19"/>
              </w:rPr>
              <w:t xml:space="preserve">20</w:t>
            </w:r>
          </w:p>
        </w:tc>
        <w:tc>
          <w:tcPr/>
          <w:p>
            <w:pPr>
              <w:pStyle w:val="Compact"/>
              <w:jc w:val="right"/>
            </w:pPr>
            <w:r>
              <w:rPr>
                <w:rFonts w:ascii="Garamond" w:hAnsi="Garamond"/>
                <w:sz w:val="19"/>
              </w:rPr>
              <w:t xml:space="preserve">18</w:t>
            </w:r>
          </w:p>
        </w:tc>
        <w:tc>
          <w:tcPr/>
          <w:p>
            <w:pPr>
              <w:pStyle w:val="Compact"/>
              <w:jc w:val="right"/>
            </w:pPr>
            <w:r>
              <w:rPr>
                <w:rFonts w:ascii="Garamond" w:hAnsi="Garamond"/>
                <w:sz w:val="19"/>
              </w:rPr>
              <w:t xml:space="preserve">11</w:t>
            </w:r>
          </w:p>
        </w:tc>
      </w:tr>
      <w:tr>
        <w:tc>
          <w:tcPr/>
          <w:p>
            <w:pPr>
              <w:pStyle w:val="Compact"/>
              <w:jc w:val="left"/>
            </w:pPr>
            <w:r>
              <w:rPr>
                <w:rFonts w:ascii="Garamond" w:hAnsi="Garamond"/>
                <w:sz w:val="19"/>
              </w:rPr>
              <w:t xml:space="preserve">Metals &amp; Mining</w:t>
            </w:r>
          </w:p>
        </w:tc>
        <w:tc>
          <w:tcPr/>
          <w:p>
            <w:pPr>
              <w:pStyle w:val="Compact"/>
              <w:jc w:val="right"/>
            </w:pPr>
            <w:r>
              <w:rPr>
                <w:rFonts w:ascii="Garamond" w:hAnsi="Garamond"/>
                <w:sz w:val="19"/>
              </w:rPr>
              <w:t xml:space="preserve">20</w:t>
            </w:r>
          </w:p>
        </w:tc>
        <w:tc>
          <w:tcPr/>
          <w:p>
            <w:pPr>
              <w:pStyle w:val="Compact"/>
              <w:jc w:val="right"/>
            </w:pPr>
            <w:r>
              <w:rPr>
                <w:rFonts w:ascii="Garamond" w:hAnsi="Garamond"/>
                <w:sz w:val="19"/>
              </w:rPr>
              <w:t xml:space="preserve">17</w:t>
            </w:r>
          </w:p>
        </w:tc>
        <w:tc>
          <w:tcPr/>
          <w:p>
            <w:pPr>
              <w:pStyle w:val="Compact"/>
              <w:jc w:val="right"/>
            </w:pPr>
            <w:r>
              <w:rPr>
                <w:rFonts w:ascii="Garamond" w:hAnsi="Garamond"/>
                <w:sz w:val="19"/>
              </w:rPr>
              <w:t xml:space="preserve">12</w:t>
            </w:r>
          </w:p>
        </w:tc>
      </w:tr>
      <w:tr>
        <w:tc>
          <w:tcPr/>
          <w:p>
            <w:pPr>
              <w:pStyle w:val="Compact"/>
              <w:jc w:val="left"/>
            </w:pPr>
            <w:r>
              <w:rPr>
                <w:rFonts w:ascii="Garamond" w:hAnsi="Garamond"/>
                <w:sz w:val="19"/>
              </w:rPr>
              <w:t xml:space="preserve">Consumer Durables</w:t>
            </w:r>
          </w:p>
        </w:tc>
        <w:tc>
          <w:tcPr/>
          <w:p>
            <w:pPr>
              <w:pStyle w:val="Compact"/>
              <w:jc w:val="right"/>
            </w:pPr>
            <w:r>
              <w:rPr>
                <w:rFonts w:ascii="Garamond" w:hAnsi="Garamond"/>
                <w:sz w:val="19"/>
              </w:rPr>
              <w:t xml:space="preserve">19</w:t>
            </w:r>
          </w:p>
        </w:tc>
        <w:tc>
          <w:tcPr/>
          <w:p>
            <w:pPr>
              <w:pStyle w:val="Compact"/>
              <w:jc w:val="right"/>
            </w:pPr>
            <w:r>
              <w:rPr>
                <w:rFonts w:ascii="Garamond" w:hAnsi="Garamond"/>
                <w:sz w:val="19"/>
              </w:rPr>
              <w:t xml:space="preserve">18</w:t>
            </w:r>
          </w:p>
        </w:tc>
        <w:tc>
          <w:tcPr/>
          <w:p>
            <w:pPr>
              <w:pStyle w:val="Compact"/>
              <w:jc w:val="right"/>
            </w:pPr>
            <w:r>
              <w:rPr>
                <w:rFonts w:ascii="Garamond" w:hAnsi="Garamond"/>
                <w:sz w:val="19"/>
              </w:rPr>
              <w:t xml:space="preserve">–</w:t>
            </w:r>
          </w:p>
        </w:tc>
      </w:tr>
      <w:tr>
        <w:tc>
          <w:tcPr/>
          <w:p>
            <w:pPr>
              <w:pStyle w:val="Compact"/>
              <w:jc w:val="left"/>
            </w:pPr>
            <w:r>
              <w:rPr>
                <w:rFonts w:ascii="Garamond" w:hAnsi="Garamond"/>
                <w:sz w:val="19"/>
              </w:rPr>
              <w:t xml:space="preserve">Oil, Gas &amp; Consumable Fuels</w:t>
            </w:r>
          </w:p>
        </w:tc>
        <w:tc>
          <w:tcPr/>
          <w:p>
            <w:pPr>
              <w:pStyle w:val="Compact"/>
              <w:jc w:val="right"/>
            </w:pPr>
            <w:r>
              <w:rPr>
                <w:rFonts w:ascii="Garamond" w:hAnsi="Garamond"/>
                <w:sz w:val="19"/>
              </w:rPr>
              <w:t xml:space="preserve">19</w:t>
            </w:r>
          </w:p>
        </w:tc>
        <w:tc>
          <w:tcPr/>
          <w:p>
            <w:pPr>
              <w:pStyle w:val="Compact"/>
              <w:jc w:val="right"/>
            </w:pPr>
            <w:r>
              <w:rPr>
                <w:rFonts w:ascii="Garamond" w:hAnsi="Garamond"/>
                <w:sz w:val="19"/>
              </w:rPr>
              <w:t xml:space="preserve">14</w:t>
            </w:r>
          </w:p>
        </w:tc>
        <w:tc>
          <w:tcPr/>
          <w:p>
            <w:pPr>
              <w:pStyle w:val="Compact"/>
              <w:jc w:val="right"/>
            </w:pPr>
            <w:r>
              <w:rPr>
                <w:rFonts w:ascii="Garamond" w:hAnsi="Garamond"/>
                <w:sz w:val="19"/>
              </w:rPr>
              <w:t xml:space="preserve">–</w:t>
            </w:r>
          </w:p>
        </w:tc>
      </w:tr>
      <w:tr>
        <w:tc>
          <w:tcPr/>
          <w:p>
            <w:pPr>
              <w:pStyle w:val="Compact"/>
              <w:jc w:val="left"/>
            </w:pPr>
            <w:r>
              <w:rPr>
                <w:rFonts w:ascii="Garamond" w:hAnsi="Garamond"/>
                <w:sz w:val="19"/>
              </w:rPr>
              <w:t xml:space="preserve">Power</w:t>
            </w:r>
          </w:p>
        </w:tc>
        <w:tc>
          <w:tcPr/>
          <w:p>
            <w:pPr>
              <w:pStyle w:val="Compact"/>
              <w:jc w:val="right"/>
            </w:pPr>
            <w:r>
              <w:rPr>
                <w:rFonts w:ascii="Garamond" w:hAnsi="Garamond"/>
                <w:sz w:val="19"/>
              </w:rPr>
              <w:t xml:space="preserve">18</w:t>
            </w:r>
          </w:p>
        </w:tc>
        <w:tc>
          <w:tcPr/>
          <w:p>
            <w:pPr>
              <w:pStyle w:val="Compact"/>
              <w:jc w:val="right"/>
            </w:pPr>
            <w:r>
              <w:rPr>
                <w:rFonts w:ascii="Garamond" w:hAnsi="Garamond"/>
                <w:sz w:val="19"/>
              </w:rPr>
              <w:t xml:space="preserve">13</w:t>
            </w:r>
          </w:p>
        </w:tc>
        <w:tc>
          <w:tcPr/>
          <w:p>
            <w:pPr>
              <w:pStyle w:val="Compact"/>
              <w:jc w:val="right"/>
            </w:pPr>
            <w:r>
              <w:rPr>
                <w:rFonts w:ascii="Garamond" w:hAnsi="Garamond"/>
                <w:sz w:val="19"/>
              </w:rPr>
              <w:t xml:space="preserve">–</w:t>
            </w:r>
          </w:p>
        </w:tc>
      </w:tr>
      <w:tr>
        <w:tc>
          <w:tcPr/>
          <w:p>
            <w:pPr>
              <w:pStyle w:val="Compact"/>
              <w:jc w:val="left"/>
            </w:pPr>
            <w:r>
              <w:rPr>
                <w:rFonts w:ascii="Garamond" w:hAnsi="Garamond"/>
                <w:sz w:val="19"/>
              </w:rPr>
              <w:t xml:space="preserve">Construction Materials (cement)</w:t>
            </w:r>
          </w:p>
        </w:tc>
        <w:tc>
          <w:tcPr/>
          <w:p>
            <w:pPr>
              <w:pStyle w:val="Compact"/>
              <w:jc w:val="right"/>
            </w:pPr>
            <w:r>
              <w:rPr>
                <w:rFonts w:ascii="Garamond" w:hAnsi="Garamond"/>
                <w:sz w:val="19"/>
              </w:rPr>
              <w:t xml:space="preserve">11</w:t>
            </w:r>
          </w:p>
        </w:tc>
        <w:tc>
          <w:tcPr/>
          <w:p>
            <w:pPr>
              <w:pStyle w:val="Compact"/>
              <w:jc w:val="right"/>
            </w:pPr>
            <w:r>
              <w:rPr>
                <w:rFonts w:ascii="Garamond" w:hAnsi="Garamond"/>
                <w:sz w:val="19"/>
              </w:rPr>
              <w:t xml:space="preserve">11</w:t>
            </w:r>
          </w:p>
        </w:tc>
        <w:tc>
          <w:tcPr/>
          <w:p>
            <w:pPr>
              <w:pStyle w:val="Compact"/>
              <w:jc w:val="right"/>
            </w:pPr>
            <w:r>
              <w:rPr>
                <w:rFonts w:ascii="Garamond" w:hAnsi="Garamond"/>
                <w:sz w:val="19"/>
              </w:rPr>
              <w:t xml:space="preserve">11</w:t>
            </w:r>
          </w:p>
        </w:tc>
      </w:tr>
      <w:tr>
        <w:tc>
          <w:tcPr/>
          <w:p>
            <w:pPr>
              <w:pStyle w:val="Compact"/>
              <w:jc w:val="left"/>
            </w:pPr>
            <w:r>
              <w:rPr>
                <w:rFonts w:ascii="Garamond" w:hAnsi="Garamond"/>
                <w:sz w:val="19"/>
              </w:rPr>
              <w:t xml:space="preserve">Services</w:t>
            </w:r>
          </w:p>
        </w:tc>
        <w:tc>
          <w:tcPr/>
          <w:p>
            <w:pPr>
              <w:pStyle w:val="Compact"/>
              <w:jc w:val="right"/>
            </w:pPr>
            <w:r>
              <w:rPr>
                <w:rFonts w:ascii="Garamond" w:hAnsi="Garamond"/>
                <w:sz w:val="19"/>
              </w:rPr>
              <w:t xml:space="preserve">14</w:t>
            </w:r>
          </w:p>
        </w:tc>
        <w:tc>
          <w:tcPr/>
          <w:p>
            <w:pPr>
              <w:pStyle w:val="Compact"/>
              <w:jc w:val="right"/>
            </w:pPr>
            <w:r>
              <w:rPr>
                <w:rFonts w:ascii="Garamond" w:hAnsi="Garamond"/>
                <w:sz w:val="19"/>
              </w:rPr>
              <w:t xml:space="preserve">10</w:t>
            </w:r>
          </w:p>
        </w:tc>
        <w:tc>
          <w:tcPr/>
          <w:p>
            <w:pPr>
              <w:pStyle w:val="Compact"/>
              <w:jc w:val="right"/>
            </w:pPr>
            <w:r>
              <w:rPr>
                <w:rFonts w:ascii="Garamond" w:hAnsi="Garamond"/>
                <w:sz w:val="19"/>
              </w:rPr>
              <w:t xml:space="preserve">–</w:t>
            </w:r>
          </w:p>
        </w:tc>
      </w:tr>
      <w:tr>
        <w:tc>
          <w:tcPr/>
          <w:p>
            <w:pPr>
              <w:pStyle w:val="Compact"/>
              <w:jc w:val="left"/>
            </w:pPr>
            <w:r>
              <w:rPr>
                <w:iCs/>
                <w:rFonts w:ascii="Garamond" w:hAnsi="Garamond"/>
                <w:i/>
                <w:sz w:val="19"/>
              </w:rPr>
              <w:t xml:space="preserve">Financial Services, separate:</w:t>
            </w:r>
            <w:r>
              <w:rPr>
                <w:rFonts w:ascii="Garamond" w:hAnsi="Garamond"/>
                <w:sz w:val="19"/>
              </w:rPr>
              <w:t xml:space="preserve"> </w:t>
            </w:r>
            <w:r>
              <w:rPr>
                <w:rFonts w:ascii="Garamond" w:hAnsi="Garamond"/>
                <w:sz w:val="19"/>
              </w:rPr>
              <w:t xml:space="preserve">banks · lenders · capital markets</w:t>
            </w:r>
          </w:p>
        </w:tc>
        <w:tc>
          <w:tcPr/>
          <w:p>
            <w:pPr>
              <w:pStyle w:val="Compact"/>
              <w:jc w:val="right"/>
            </w:pPr>
            <w:r>
              <w:rPr>
                <w:rFonts w:ascii="Garamond" w:hAnsi="Garamond"/>
                <w:sz w:val="19"/>
              </w:rPr>
              <w:t xml:space="preserve">27 · 32 · 16</w:t>
            </w:r>
          </w:p>
        </w:tc>
        <w:tc>
          <w:tcPr/>
          <w:p>
            <w:pPr>
              <w:pStyle w:val="Compact"/>
              <w:jc w:val="right"/>
            </w:pPr>
            <w:r>
              <w:rPr>
                <w:rFonts w:ascii="Garamond" w:hAnsi="Garamond"/>
                <w:sz w:val="19"/>
              </w:rPr>
              <w:t xml:space="preserve">25 · 26 · 11</w:t>
            </w:r>
          </w:p>
        </w:tc>
        <w:tc>
          <w:tcPr/>
          <w:p>
            <w:pPr>
              <w:pStyle w:val="Compact"/>
              <w:jc w:val="right"/>
            </w:pPr>
            <w:r>
              <w:rPr>
                <w:rFonts w:ascii="Garamond" w:hAnsi="Garamond"/>
                <w:sz w:val="19"/>
              </w:rPr>
              <w:t xml:space="preserve">–</w:t>
            </w:r>
          </w:p>
        </w:tc>
      </w:tr>
      <w:tr>
        <w:tc>
          <w:tcPr/>
          <w:p>
            <w:pPr>
              <w:pStyle w:val="Compact"/>
              <w:jc w:val="left"/>
            </w:pPr>
            <w:r>
              <w:rPr>
                <w:rFonts w:ascii="Garamond" w:hAnsi="Garamond"/>
                <w:sz w:val="19"/>
              </w:rPr>
              <w:t xml:space="preserve">Scores shown, too few complete for a rank: Construction, Realty, insurers</w:t>
            </w:r>
          </w:p>
        </w:tc>
        <w:tc>
          <w:tcPr/>
          <w:p>
            <w:pPr>
              <w:pStyle w:val="Compact"/>
              <w:jc w:val="right"/>
            </w:pPr>
            <w:r>
              <w:rPr>
                <w:rFonts w:ascii="Garamond" w:hAnsi="Garamond"/>
                <w:sz w:val="19"/>
              </w:rPr>
              <w:t xml:space="preserve">33</w:t>
            </w:r>
          </w:p>
        </w:tc>
        <w:tc>
          <w:tcPr/>
          <w:p>
            <w:pPr>
              <w:pStyle w:val="Compact"/>
              <w:jc w:val="right"/>
            </w:pPr>
            <w:r>
              <w:rPr>
                <w:rFonts w:ascii="Garamond" w:hAnsi="Garamond"/>
                <w:sz w:val="19"/>
              </w:rPr>
              <w:t xml:space="preserve">–</w:t>
            </w:r>
          </w:p>
        </w:tc>
        <w:tc>
          <w:tcPr/>
          <w:p>
            <w:pPr>
              <w:pStyle w:val="Compact"/>
              <w:jc w:val="right"/>
            </w:pPr>
            <w:r>
              <w:rPr>
                <w:rFonts w:ascii="Garamond" w:hAnsi="Garamond"/>
                <w:sz w:val="19"/>
              </w:rPr>
              <w:t xml:space="preserve">–</w:t>
            </w:r>
          </w:p>
        </w:tc>
      </w:tr>
      <w:tr>
        <w:tc>
          <w:tcPr/>
          <w:p>
            <w:pPr>
              <w:pStyle w:val="Compact"/>
              <w:jc w:val="left"/>
            </w:pPr>
            <w:r>
              <w:rPr>
                <w:rFonts w:ascii="Garamond" w:hAnsi="Garamond"/>
                <w:sz w:val="19"/>
              </w:rPr>
              <w:t xml:space="preserve">Listed only (fewer than 10 companies): Telecom, Textiles, Diversified, Media, holding companies, others</w:t>
            </w:r>
          </w:p>
        </w:tc>
        <w:tc>
          <w:tcPr/>
          <w:p>
            <w:pPr>
              <w:pStyle w:val="Compact"/>
              <w:jc w:val="right"/>
            </w:pPr>
            <w:r>
              <w:rPr>
                <w:rFonts w:ascii="Garamond" w:hAnsi="Garamond"/>
                <w:sz w:val="19"/>
              </w:rPr>
              <w:t xml:space="preserve">30</w:t>
            </w:r>
          </w:p>
        </w:tc>
        <w:tc>
          <w:tcPr/>
          <w:p>
            <w:pPr>
              <w:pStyle w:val="Compact"/>
              <w:jc w:val="right"/>
            </w:pPr>
            <w:r>
              <w:rPr>
                <w:rFonts w:ascii="Garamond" w:hAnsi="Garamond"/>
                <w:sz w:val="19"/>
              </w:rPr>
              <w:t xml:space="preserve">–</w:t>
            </w:r>
          </w:p>
        </w:tc>
        <w:tc>
          <w:tcPr/>
          <w:p>
            <w:pPr>
              <w:pStyle w:val="Compact"/>
              <w:jc w:val="right"/>
            </w:pPr>
            <w:r>
              <w:rPr>
                <w:rFonts w:ascii="Garamond" w:hAnsi="Garamond"/>
                <w:sz w:val="19"/>
              </w:rPr>
              <w:t xml:space="preserve">–</w:t>
            </w:r>
          </w:p>
        </w:tc>
      </w:tr>
      <w:tr>
        <w:tc>
          <w:tcPr/>
          <w:p>
            <w:pPr>
              <w:pStyle w:val="Compact"/>
              <w:jc w:val="left"/>
            </w:pPr>
            <w:r>
              <w:rPr>
                <w:bCs/>
                <w:rFonts w:ascii="Garamond" w:hAnsi="Garamond"/>
                <w:b/>
                <w:sz w:val="19"/>
              </w:rPr>
              <w:t xml:space="preserve">Total</w:t>
            </w:r>
          </w:p>
        </w:tc>
        <w:tc>
          <w:tcPr/>
          <w:p>
            <w:pPr>
              <w:pStyle w:val="Compact"/>
              <w:jc w:val="right"/>
            </w:pPr>
            <w:r>
              <w:rPr>
                <w:bCs/>
                <w:rFonts w:ascii="Garamond" w:hAnsi="Garamond"/>
                <w:b/>
                <w:sz w:val="19"/>
              </w:rPr>
              <w:t xml:space="preserve">500</w:t>
            </w:r>
          </w:p>
        </w:tc>
        <w:tc>
          <w:tcPr/>
          <w:p>
            <w:pPr>
              <w:pStyle w:val="Compact"/>
              <w:jc w:val="right"/>
            </w:pPr>
            <w:r>
              <w:rPr>
                <w:bCs/>
                <w:rFonts w:ascii="Garamond" w:hAnsi="Garamond"/>
                <w:b/>
                <w:sz w:val="19"/>
              </w:rPr>
              <w:t xml:space="preserve">373</w:t>
            </w:r>
          </w:p>
        </w:tc>
        <w:tc>
          <w:tcPr/>
          <w:p>
            <w:pPr>
              <w:pStyle w:val="Compact"/>
              <w:jc w:val="right"/>
            </w:pPr>
            <w:r>
              <w:rPr>
                <w:bCs/>
                <w:rFonts w:ascii="Garamond" w:hAnsi="Garamond"/>
                <w:b/>
                <w:sz w:val="19"/>
              </w:rPr>
              <w:t xml:space="preserve">169</w:t>
            </w:r>
          </w:p>
        </w:tc>
      </w:tr>
    </w:tbl>
    <w:p>
      <w:pPr>
        <w:pStyle w:val="BodyText"/>
      </w:pPr>
      <w:r>
        <w:rPr>
          <w:bCs/>
          <w:b/>
        </w:rPr>
        <w:t xml:space="preserve">Financial Services</w:t>
      </w:r>
      <w:r>
        <w:t xml:space="preserve"> </w:t>
      </w:r>
      <w:r>
        <w:t xml:space="preserve">is shown on a separate sheet with a warning. A bank’s own footprint is its offices and data centres. Its real effect on nature comes through what it lends to and invests in, and companies do not report that.</w:t>
      </w:r>
    </w:p>
    <w:bookmarkEnd w:id="22"/>
    <w:bookmarkStart w:id="23" w:name="what-is-measured"/>
    <w:p>
      <w:pPr>
        <w:pStyle w:val="Heading2"/>
      </w:pPr>
      <w:r>
        <w:t xml:space="preserve">4. What is measured</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1680"/>
        <w:gridCol w:w="3600"/>
        <w:gridCol w:w="1320"/>
        <w:gridCol w:w="1320"/>
      </w:tblGrid>
      <w:tr>
        <w:trPr>
          <w:tblHeader w:val="true"/>
        </w:trPr>
        <w:tc>
          <w:tcPr/>
          <w:p>
            <w:pPr>
              <w:pStyle w:val="Compact"/>
              <w:jc w:val="left"/>
            </w:pPr>
            <w:r>
              <w:rPr>
                <w:rFonts w:ascii="Garamond" w:hAnsi="Garamond"/>
                <w:b/>
                <w:color w:val="1C3F2C"/>
                <w:sz w:val="19"/>
              </w:rPr>
              <w:t xml:space="preserve">Pressure</w:t>
            </w:r>
          </w:p>
        </w:tc>
        <w:tc>
          <w:tcPr/>
          <w:p>
            <w:pPr>
              <w:pStyle w:val="Compact"/>
              <w:jc w:val="left"/>
            </w:pPr>
            <w:r>
              <w:rPr>
                <w:rFonts w:ascii="Garamond" w:hAnsi="Garamond"/>
                <w:b/>
                <w:color w:val="1C3F2C"/>
                <w:sz w:val="19"/>
              </w:rPr>
              <w:t xml:space="preserve">What companies report (BRSR, Principle 6)</w:t>
            </w:r>
          </w:p>
        </w:tc>
        <w:tc>
          <w:tcPr/>
          <w:p>
            <w:pPr>
              <w:pStyle w:val="Compact"/>
              <w:jc w:val="left"/>
            </w:pPr>
            <w:r>
              <w:rPr>
                <w:rFonts w:ascii="Garamond" w:hAnsi="Garamond"/>
                <w:b/>
                <w:color w:val="1C3F2C"/>
                <w:sz w:val="19"/>
              </w:rPr>
              <w:t xml:space="preserve">Unit</w:t>
            </w:r>
          </w:p>
        </w:tc>
        <w:tc>
          <w:tcPr/>
          <w:p>
            <w:pPr>
              <w:pStyle w:val="Compact"/>
              <w:jc w:val="right"/>
            </w:pPr>
            <w:r>
              <w:rPr>
                <w:rFonts w:ascii="Garamond" w:hAnsi="Garamond"/>
                <w:b/>
                <w:color w:val="1C3F2C"/>
                <w:sz w:val="19"/>
              </w:rPr>
              <w:t xml:space="preserve">Companies with a value</w:t>
            </w:r>
          </w:p>
        </w:tc>
      </w:tr>
      <w:tr>
        <w:tc>
          <w:tcPr/>
          <w:p>
            <w:pPr>
              <w:pStyle w:val="Compact"/>
              <w:jc w:val="left"/>
            </w:pPr>
            <w:r>
              <w:rPr>
                <w:rFonts w:ascii="Garamond" w:hAnsi="Garamond"/>
                <w:sz w:val="19"/>
              </w:rPr>
              <w:t xml:space="preserve">Climate</w:t>
            </w:r>
          </w:p>
        </w:tc>
        <w:tc>
          <w:tcPr/>
          <w:p>
            <w:pPr>
              <w:pStyle w:val="Compact"/>
              <w:jc w:val="left"/>
            </w:pPr>
            <w:r>
              <w:rPr>
                <w:rFonts w:ascii="Garamond" w:hAnsi="Garamond"/>
                <w:sz w:val="19"/>
              </w:rPr>
              <w:t xml:space="preserve">Scope 1 + Scope 2 greenhouse-gas emissions</w:t>
            </w:r>
          </w:p>
        </w:tc>
        <w:tc>
          <w:tcPr/>
          <w:p>
            <w:pPr>
              <w:pStyle w:val="Compact"/>
              <w:jc w:val="left"/>
            </w:pPr>
            <w:r>
              <w:rPr>
                <w:rFonts w:ascii="Garamond" w:hAnsi="Garamond"/>
                <w:sz w:val="19"/>
              </w:rPr>
              <w:t xml:space="preserve">tonnes CO2e</w:t>
            </w:r>
          </w:p>
        </w:tc>
        <w:tc>
          <w:tcPr/>
          <w:p>
            <w:pPr>
              <w:pStyle w:val="Compact"/>
              <w:jc w:val="right"/>
            </w:pPr>
            <w:r>
              <w:rPr>
                <w:rFonts w:ascii="Garamond" w:hAnsi="Garamond"/>
                <w:sz w:val="19"/>
              </w:rPr>
              <w:t xml:space="preserve">473</w:t>
            </w:r>
          </w:p>
        </w:tc>
      </w:tr>
      <w:tr>
        <w:tc>
          <w:tcPr/>
          <w:p>
            <w:pPr>
              <w:pStyle w:val="Compact"/>
              <w:jc w:val="left"/>
            </w:pPr>
            <w:r>
              <w:rPr>
                <w:rFonts w:ascii="Garamond" w:hAnsi="Garamond"/>
                <w:sz w:val="19"/>
              </w:rPr>
              <w:t xml:space="preserve">Water</w:t>
            </w:r>
          </w:p>
        </w:tc>
        <w:tc>
          <w:tcPr/>
          <w:p>
            <w:pPr>
              <w:pStyle w:val="Compact"/>
              <w:jc w:val="left"/>
            </w:pPr>
            <w:r>
              <w:rPr>
                <w:rFonts w:ascii="Garamond" w:hAnsi="Garamond"/>
                <w:sz w:val="19"/>
              </w:rPr>
              <w:t xml:space="preserve">Total water withdrawal</w:t>
            </w:r>
          </w:p>
        </w:tc>
        <w:tc>
          <w:tcPr/>
          <w:p>
            <w:pPr>
              <w:pStyle w:val="Compact"/>
              <w:jc w:val="left"/>
            </w:pPr>
            <w:r>
              <w:rPr>
                <w:rFonts w:ascii="Garamond" w:hAnsi="Garamond"/>
                <w:sz w:val="19"/>
              </w:rPr>
              <w:t xml:space="preserve">kilolitres</w:t>
            </w:r>
          </w:p>
        </w:tc>
        <w:tc>
          <w:tcPr/>
          <w:p>
            <w:pPr>
              <w:pStyle w:val="Compact"/>
              <w:jc w:val="right"/>
            </w:pPr>
            <w:r>
              <w:rPr>
                <w:rFonts w:ascii="Garamond" w:hAnsi="Garamond"/>
                <w:sz w:val="19"/>
              </w:rPr>
              <w:t xml:space="preserve">474</w:t>
            </w:r>
          </w:p>
        </w:tc>
      </w:tr>
      <w:tr>
        <w:tc>
          <w:tcPr/>
          <w:p>
            <w:pPr>
              <w:pStyle w:val="Compact"/>
              <w:jc w:val="left"/>
            </w:pPr>
            <w:r>
              <w:rPr>
                <w:rFonts w:ascii="Garamond" w:hAnsi="Garamond"/>
                <w:sz w:val="19"/>
              </w:rPr>
              <w:t xml:space="preserve">Waste</w:t>
            </w:r>
          </w:p>
        </w:tc>
        <w:tc>
          <w:tcPr/>
          <w:p>
            <w:pPr>
              <w:pStyle w:val="Compact"/>
              <w:jc w:val="left"/>
            </w:pPr>
            <w:r>
              <w:rPr>
                <w:rFonts w:ascii="Garamond" w:hAnsi="Garamond"/>
                <w:sz w:val="19"/>
              </w:rPr>
              <w:t xml:space="preserve">Total waste generated</w:t>
            </w:r>
          </w:p>
        </w:tc>
        <w:tc>
          <w:tcPr/>
          <w:p>
            <w:pPr>
              <w:pStyle w:val="Compact"/>
              <w:jc w:val="left"/>
            </w:pPr>
            <w:r>
              <w:rPr>
                <w:rFonts w:ascii="Garamond" w:hAnsi="Garamond"/>
                <w:sz w:val="19"/>
              </w:rPr>
              <w:t xml:space="preserve">tonnes</w:t>
            </w:r>
          </w:p>
        </w:tc>
        <w:tc>
          <w:tcPr/>
          <w:p>
            <w:pPr>
              <w:pStyle w:val="Compact"/>
              <w:jc w:val="right"/>
            </w:pPr>
            <w:r>
              <w:rPr>
                <w:rFonts w:ascii="Garamond" w:hAnsi="Garamond"/>
                <w:sz w:val="19"/>
              </w:rPr>
              <w:t xml:space="preserve">473</w:t>
            </w:r>
          </w:p>
        </w:tc>
      </w:tr>
      <w:tr>
        <w:tc>
          <w:tcPr/>
          <w:p>
            <w:pPr>
              <w:pStyle w:val="Compact"/>
              <w:jc w:val="left"/>
            </w:pPr>
            <w:r>
              <w:rPr>
                <w:rFonts w:ascii="Garamond" w:hAnsi="Garamond"/>
                <w:sz w:val="19"/>
              </w:rPr>
              <w:t xml:space="preserve">Air (separate rank)</w:t>
            </w:r>
          </w:p>
        </w:tc>
        <w:tc>
          <w:tcPr/>
          <w:p>
            <w:pPr>
              <w:pStyle w:val="Compact"/>
              <w:jc w:val="left"/>
            </w:pPr>
            <w:r>
              <w:rPr>
                <w:rFonts w:ascii="Garamond" w:hAnsi="Garamond"/>
                <w:sz w:val="19"/>
              </w:rPr>
              <w:t xml:space="preserve">NOx + SOx + particulate matter</w:t>
            </w:r>
          </w:p>
        </w:tc>
        <w:tc>
          <w:tcPr/>
          <w:p>
            <w:pPr>
              <w:pStyle w:val="Compact"/>
              <w:jc w:val="left"/>
            </w:pPr>
            <w:r>
              <w:rPr>
                <w:rFonts w:ascii="Garamond" w:hAnsi="Garamond"/>
                <w:sz w:val="19"/>
              </w:rPr>
              <w:t xml:space="preserve">tonnes</w:t>
            </w:r>
          </w:p>
        </w:tc>
        <w:tc>
          <w:tcPr/>
          <w:p>
            <w:pPr>
              <w:pStyle w:val="Compact"/>
              <w:jc w:val="right"/>
            </w:pPr>
            <w:r>
              <w:rPr>
                <w:rFonts w:ascii="Garamond" w:hAnsi="Garamond"/>
                <w:sz w:val="19"/>
              </w:rPr>
              <w:t xml:space="preserve">245</w:t>
            </w:r>
          </w:p>
        </w:tc>
      </w:tr>
    </w:tbl>
    <w:p>
      <w:pPr>
        <w:pStyle w:val="BodyText"/>
      </w:pPr>
      <w:r>
        <w:t xml:space="preserve">The main source is the</w:t>
      </w:r>
      <w:r>
        <w:t xml:space="preserve"> </w:t>
      </w:r>
      <w:r>
        <w:rPr>
          <w:bCs/>
          <w:b/>
        </w:rPr>
        <w:t xml:space="preserve">Business Responsibility and Sustainability Report (BRSR)</w:t>
      </w:r>
      <w:r>
        <w:t xml:space="preserve"> </w:t>
      </w:r>
      <w:r>
        <w:t xml:space="preserve">that every listed company files with the stock exchange. Revenue comes from the company’s annual financial filing with NSE, on the same basis as its BRSR (standalone or consolidated). Scope 2 is taken</w:t>
      </w:r>
      <w:r>
        <w:t xml:space="preserve"> </w:t>
      </w:r>
      <w:r>
        <w:rPr>
          <w:bCs/>
          <w:b/>
        </w:rPr>
        <w:t xml:space="preserve">as reported</w:t>
      </w:r>
      <w:r>
        <w:t xml:space="preserve"> </w:t>
      </w:r>
      <w:r>
        <w:t xml:space="preserve">by every company.</w:t>
      </w:r>
    </w:p>
    <w:p>
      <w:pPr>
        <w:pStyle w:val="BodyText"/>
      </w:pPr>
      <w:r>
        <w:rPr>
          <w:bCs/>
          <w:b/>
        </w:rPr>
        <w:t xml:space="preserve">Where the 1,897 values used come from:</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955"/>
        <w:gridCol w:w="5871"/>
        <w:gridCol w:w="1092"/>
      </w:tblGrid>
      <w:tr>
        <w:trPr>
          <w:tblHeader w:val="true"/>
        </w:trPr>
        <w:tc>
          <w:tcPr/>
          <w:p>
            <w:pPr>
              <w:pStyle w:val="Compact"/>
              <w:jc w:val="left"/>
            </w:pPr>
            <w:r>
              <w:rPr>
                <w:rFonts w:ascii="Garamond" w:hAnsi="Garamond"/>
                <w:b/>
                <w:color w:val="1C3F2C"/>
                <w:sz w:val="19"/>
              </w:rPr>
              <w:t xml:space="preserve">Tier</w:t>
            </w:r>
          </w:p>
        </w:tc>
        <w:tc>
          <w:tcPr/>
          <w:p>
            <w:pPr>
              <w:pStyle w:val="Compact"/>
              <w:jc w:val="left"/>
            </w:pPr>
            <w:r>
              <w:rPr>
                <w:rFonts w:ascii="Garamond" w:hAnsi="Garamond"/>
                <w:b/>
                <w:color w:val="1C3F2C"/>
                <w:sz w:val="19"/>
              </w:rPr>
              <w:t xml:space="preserve">Source</w:t>
            </w:r>
          </w:p>
        </w:tc>
        <w:tc>
          <w:tcPr/>
          <w:p>
            <w:pPr>
              <w:pStyle w:val="Compact"/>
              <w:jc w:val="right"/>
            </w:pPr>
            <w:r>
              <w:rPr>
                <w:rFonts w:ascii="Garamond" w:hAnsi="Garamond"/>
                <w:b/>
                <w:color w:val="1C3F2C"/>
                <w:sz w:val="19"/>
              </w:rPr>
              <w:t xml:space="preserve">Share</w:t>
            </w:r>
          </w:p>
        </w:tc>
      </w:tr>
      <w:tr>
        <w:tc>
          <w:tcPr/>
          <w:p>
            <w:pPr>
              <w:pStyle w:val="Compact"/>
              <w:jc w:val="left"/>
            </w:pPr>
            <w:r>
              <w:rPr>
                <w:rFonts w:ascii="Garamond" w:hAnsi="Garamond"/>
                <w:sz w:val="19"/>
              </w:rPr>
              <w:t xml:space="preserve">1</w:t>
            </w:r>
          </w:p>
        </w:tc>
        <w:tc>
          <w:tcPr/>
          <w:p>
            <w:pPr>
              <w:pStyle w:val="Compact"/>
              <w:jc w:val="left"/>
            </w:pPr>
            <w:r>
              <w:rPr>
                <w:rFonts w:ascii="Garamond" w:hAnsi="Garamond"/>
                <w:sz w:val="19"/>
              </w:rPr>
              <w:t xml:space="preserve">The BRSR data file filed with NSE, with the unit stated</w:t>
            </w:r>
          </w:p>
        </w:tc>
        <w:tc>
          <w:tcPr/>
          <w:p>
            <w:pPr>
              <w:pStyle w:val="Compact"/>
              <w:jc w:val="right"/>
            </w:pPr>
            <w:r>
              <w:rPr>
                <w:rFonts w:ascii="Garamond" w:hAnsi="Garamond"/>
                <w:sz w:val="19"/>
              </w:rPr>
              <w:t xml:space="preserve">70.2%</w:t>
            </w:r>
          </w:p>
        </w:tc>
      </w:tr>
      <w:tr>
        <w:tc>
          <w:tcPr/>
          <w:p>
            <w:pPr>
              <w:pStyle w:val="Compact"/>
              <w:jc w:val="left"/>
            </w:pPr>
            <w:r>
              <w:rPr>
                <w:rFonts w:ascii="Garamond" w:hAnsi="Garamond"/>
                <w:sz w:val="19"/>
              </w:rPr>
              <w:t xml:space="preserve">2</w:t>
            </w:r>
          </w:p>
        </w:tc>
        <w:tc>
          <w:tcPr/>
          <w:p>
            <w:pPr>
              <w:pStyle w:val="Compact"/>
              <w:jc w:val="left"/>
            </w:pPr>
            <w:r>
              <w:rPr>
                <w:rFonts w:ascii="Garamond" w:hAnsi="Garamond"/>
                <w:sz w:val="19"/>
              </w:rPr>
              <w:t xml:space="preserve">The same file, with the unit checked against the BRSR PDF</w:t>
            </w:r>
          </w:p>
        </w:tc>
        <w:tc>
          <w:tcPr/>
          <w:p>
            <w:pPr>
              <w:pStyle w:val="Compact"/>
              <w:jc w:val="right"/>
            </w:pPr>
            <w:r>
              <w:rPr>
                <w:rFonts w:ascii="Garamond" w:hAnsi="Garamond"/>
                <w:sz w:val="19"/>
              </w:rPr>
              <w:t xml:space="preserve">17.2%</w:t>
            </w:r>
          </w:p>
        </w:tc>
      </w:tr>
      <w:tr>
        <w:tc>
          <w:tcPr/>
          <w:p>
            <w:pPr>
              <w:pStyle w:val="Compact"/>
              <w:jc w:val="left"/>
            </w:pPr>
            <w:r>
              <w:rPr>
                <w:rFonts w:ascii="Garamond" w:hAnsi="Garamond"/>
                <w:sz w:val="19"/>
              </w:rPr>
              <w:t xml:space="preserve">3</w:t>
            </w:r>
          </w:p>
        </w:tc>
        <w:tc>
          <w:tcPr/>
          <w:p>
            <w:pPr>
              <w:pStyle w:val="Compact"/>
              <w:jc w:val="left"/>
            </w:pPr>
            <w:r>
              <w:rPr>
                <w:rFonts w:ascii="Garamond" w:hAnsi="Garamond"/>
                <w:sz w:val="19"/>
              </w:rPr>
              <w:t xml:space="preserve">The company’s annual or sustainability report, or the BRSR PDF, used where the data file was blank. The exact words are recorded. An independent recheck of 40 of these values matched 38 exactly.</w:t>
            </w:r>
          </w:p>
        </w:tc>
        <w:tc>
          <w:tcPr/>
          <w:p>
            <w:pPr>
              <w:pStyle w:val="Compact"/>
              <w:jc w:val="right"/>
            </w:pPr>
            <w:r>
              <w:rPr>
                <w:rFonts w:ascii="Garamond" w:hAnsi="Garamond"/>
                <w:sz w:val="19"/>
              </w:rPr>
              <w:t xml:space="preserve">10.2%</w:t>
            </w:r>
          </w:p>
        </w:tc>
      </w:tr>
      <w:tr>
        <w:tc>
          <w:tcPr/>
          <w:p>
            <w:pPr>
              <w:pStyle w:val="Compact"/>
              <w:jc w:val="left"/>
            </w:pPr>
            <w:r>
              <w:rPr>
                <w:rFonts w:ascii="Garamond" w:hAnsi="Garamond"/>
                <w:sz w:val="19"/>
              </w:rPr>
              <w:t xml:space="preserve">4</w:t>
            </w:r>
          </w:p>
        </w:tc>
        <w:tc>
          <w:tcPr/>
          <w:p>
            <w:pPr>
              <w:pStyle w:val="Compact"/>
              <w:jc w:val="left"/>
            </w:pPr>
            <w:r>
              <w:rPr>
                <w:rFonts w:ascii="Garamond" w:hAnsi="Garamond"/>
                <w:sz w:val="19"/>
              </w:rPr>
              <w:t xml:space="preserve">The data file, where the unit label</w:t>
            </w:r>
            <w:r>
              <w:rPr>
                <w:rFonts w:ascii="Garamond" w:hAnsi="Garamond"/>
                <w:sz w:val="19"/>
              </w:rPr>
              <w:t xml:space="preserve"> </w:t>
            </w:r>
            <w:r>
              <w:rPr>
                <w:rFonts w:ascii="Garamond" w:hAnsi="Garamond"/>
                <w:sz w:val="19"/>
              </w:rPr>
              <w:t xml:space="preserve">“</w:t>
            </w:r>
            <w:r>
              <w:rPr>
                <w:rFonts w:ascii="Garamond" w:hAnsi="Garamond"/>
                <w:sz w:val="19"/>
              </w:rPr>
              <w:t xml:space="preserve">MtCO2e</w:t>
            </w:r>
            <w:r>
              <w:rPr>
                <w:rFonts w:ascii="Garamond" w:hAnsi="Garamond"/>
                <w:sz w:val="19"/>
              </w:rPr>
              <w:t xml:space="preserve">”</w:t>
            </w:r>
            <w:r>
              <w:rPr>
                <w:rFonts w:ascii="Garamond" w:hAnsi="Garamond"/>
                <w:sz w:val="19"/>
              </w:rPr>
              <w:t xml:space="preserve"> </w:t>
            </w:r>
            <w:r>
              <w:rPr>
                <w:rFonts w:ascii="Garamond" w:hAnsi="Garamond"/>
                <w:sz w:val="19"/>
              </w:rPr>
              <w:t xml:space="preserve">was read as metric tonnes (the unit the BRSR form prescribes). Where the PDF could be checked, it agreed 96% of the time.</w:t>
            </w:r>
          </w:p>
        </w:tc>
        <w:tc>
          <w:tcPr/>
          <w:p>
            <w:pPr>
              <w:pStyle w:val="Compact"/>
              <w:jc w:val="right"/>
            </w:pPr>
            <w:r>
              <w:rPr>
                <w:rFonts w:ascii="Garamond" w:hAnsi="Garamond"/>
                <w:sz w:val="19"/>
              </w:rPr>
              <w:t xml:space="preserve">2.2%</w:t>
            </w:r>
          </w:p>
        </w:tc>
      </w:tr>
      <w:tr>
        <w:tc>
          <w:tcPr/>
          <w:p>
            <w:pPr>
              <w:pStyle w:val="Compact"/>
              <w:jc w:val="left"/>
            </w:pPr>
            <w:r>
              <w:rPr>
                <w:rFonts w:ascii="Garamond" w:hAnsi="Garamond"/>
                <w:sz w:val="19"/>
              </w:rPr>
              <w:t xml:space="preserve">5</w:t>
            </w:r>
          </w:p>
        </w:tc>
        <w:tc>
          <w:tcPr/>
          <w:p>
            <w:pPr>
              <w:pStyle w:val="Compact"/>
              <w:jc w:val="left"/>
            </w:pPr>
            <w:r>
              <w:rPr>
                <w:rFonts w:ascii="Garamond" w:hAnsi="Garamond"/>
                <w:sz w:val="19"/>
              </w:rPr>
              <w:t xml:space="preserve">A filed value corrected to the company’s own published figure (unit slips only)</w:t>
            </w:r>
          </w:p>
        </w:tc>
        <w:tc>
          <w:tcPr/>
          <w:p>
            <w:pPr>
              <w:pStyle w:val="Compact"/>
              <w:jc w:val="right"/>
            </w:pPr>
            <w:r>
              <w:rPr>
                <w:rFonts w:ascii="Garamond" w:hAnsi="Garamond"/>
                <w:sz w:val="19"/>
              </w:rPr>
              <w:t xml:space="preserve">0.2%</w:t>
            </w:r>
          </w:p>
        </w:tc>
      </w:tr>
    </w:tbl>
    <w:p>
      <w:pPr>
        <w:pStyle w:val="BodyText"/>
      </w:pPr>
      <w:r>
        <w:rPr>
          <w:bCs/>
          <w:b/>
        </w:rPr>
        <w:t xml:space="preserve">Values held back.</w:t>
      </w:r>
      <w:r>
        <w:t xml:space="preserve"> </w:t>
      </w:r>
      <w:r>
        <w:t xml:space="preserve">These are listed in the dataset, and that element is not scored until the company confirms it:</w:t>
      </w:r>
    </w:p>
    <w:p>
      <w:pPr>
        <w:numPr>
          <w:ilvl w:val="0"/>
          <w:numId w:val="1003"/>
        </w:numPr>
        <w:pStyle w:val="Compact"/>
      </w:pPr>
      <w:r>
        <w:rPr>
          <w:bCs/>
          <w:b/>
        </w:rPr>
        <w:t xml:space="preserve">Extreme values:</w:t>
      </w:r>
      <w:r>
        <w:t xml:space="preserve"> </w:t>
      </w:r>
      <w:r>
        <w:t xml:space="preserve">more than 300 times above or below the peer-group median, per rupee of revenue. These are usually unit slips (kilograms entered as tonnes) or boundary problems (head office only). There are 29 such values. A company with an open query on climate, water or waste is not ranked until it is resolved.</w:t>
      </w:r>
    </w:p>
    <w:p>
      <w:pPr>
        <w:numPr>
          <w:ilvl w:val="0"/>
          <w:numId w:val="1003"/>
        </w:numPr>
        <w:pStyle w:val="Compact"/>
      </w:pPr>
      <w:r>
        <w:rPr>
          <w:bCs/>
          <w:b/>
        </w:rPr>
        <w:t xml:space="preserve">Impossible values:</w:t>
      </w:r>
      <w:r>
        <w:t xml:space="preserve"> </w:t>
      </w:r>
      <w:r>
        <w:t xml:space="preserve">a Scope 2 figure that would need more grid electricity than the company’s whole revenue could buy (2 values).</w:t>
      </w:r>
    </w:p>
    <w:p>
      <w:pPr>
        <w:numPr>
          <w:ilvl w:val="0"/>
          <w:numId w:val="1003"/>
        </w:numPr>
        <w:pStyle w:val="Compact"/>
      </w:pPr>
      <w:r>
        <w:rPr>
          <w:bCs/>
          <w:b/>
        </w:rPr>
        <w:t xml:space="preserve">Reported zeros:</w:t>
      </w:r>
      <w:r>
        <w:t xml:space="preserve"> </w:t>
      </w:r>
      <w:r>
        <w:t xml:space="preserve">a reported zero, including a zero for Scope 1 or Scope 2 alone. For an operating company, zero usually means</w:t>
      </w:r>
      <w:r>
        <w:t xml:space="preserve"> </w:t>
      </w:r>
      <w:r>
        <w:t xml:space="preserve">“</w:t>
      </w:r>
      <w:r>
        <w:t xml:space="preserve">not measured</w:t>
      </w:r>
      <w:r>
        <w:t xml:space="preserve">”</w:t>
      </w:r>
      <w:r>
        <w:t xml:space="preserve"> </w:t>
      </w:r>
      <w:r>
        <w:t xml:space="preserve">rather than</w:t>
      </w:r>
      <w:r>
        <w:t xml:space="preserve"> </w:t>
      </w:r>
      <w:r>
        <w:t xml:space="preserve">“</w:t>
      </w:r>
      <w:r>
        <w:t xml:space="preserve">none</w:t>
      </w:r>
      <w:r>
        <w:t xml:space="preserve">”</w:t>
      </w:r>
      <w:r>
        <w:t xml:space="preserve">.</w:t>
      </w:r>
    </w:p>
    <w:bookmarkEnd w:id="23"/>
    <w:bookmarkStart w:id="24" w:name="how-a-score-is-worked-out"/>
    <w:p>
      <w:pPr>
        <w:pStyle w:val="Heading2"/>
      </w:pPr>
      <w:r>
        <w:t xml:space="preserve">5. How a score is worked out</w:t>
      </w:r>
    </w:p>
    <w:p>
      <w:pPr>
        <w:numPr>
          <w:ilvl w:val="0"/>
          <w:numId w:val="1004"/>
        </w:numPr>
      </w:pPr>
      <w:r>
        <w:rPr>
          <w:bCs/>
          <w:b/>
        </w:rPr>
        <w:t xml:space="preserve">Divide by revenue.</w:t>
      </w:r>
      <w:r>
        <w:t xml:space="preserve"> </w:t>
      </w:r>
      <w:r>
        <w:t xml:space="preserve">For each pressure, divide the reported amount by revenue in ₹ crore. This gives the</w:t>
      </w:r>
      <w:r>
        <w:t xml:space="preserve"> </w:t>
      </w:r>
      <w:r>
        <w:rPr>
          <w:iCs/>
          <w:i/>
        </w:rPr>
        <w:t xml:space="preserve">intensity</w:t>
      </w:r>
      <w:r>
        <w:t xml:space="preserve">.</w:t>
      </w:r>
    </w:p>
    <w:p>
      <w:pPr>
        <w:numPr>
          <w:ilvl w:val="0"/>
          <w:numId w:val="1004"/>
        </w:numPr>
      </w:pPr>
      <w:r>
        <w:rPr>
          <w:bCs/>
          <w:b/>
        </w:rPr>
        <w:t xml:space="preserve">Compare with peers.</w:t>
      </w:r>
      <w:r>
        <w:t xml:space="preserve"> </w:t>
      </w:r>
      <w:r>
        <w:t xml:space="preserve">Within the peer group, line up the companies that report that pressure, from lowest to highest intensity. The lowest scores 100, the highest scores 0, and the rest are spaced evenly in between.</w:t>
      </w:r>
    </w:p>
    <w:p>
      <w:pPr>
        <w:numPr>
          <w:ilvl w:val="0"/>
          <w:numId w:val="1000"/>
        </w:numPr>
        <w:pStyle w:val="BlockText"/>
      </w:pPr>
      <w:r>
        <w:t xml:space="preserve">score = 100 × (number of companies − position) ÷ (number of companies − 1)</w:t>
      </w:r>
    </w:p>
    <w:p>
      <w:pPr>
        <w:numPr>
          <w:ilvl w:val="0"/>
          <w:numId w:val="1004"/>
        </w:numPr>
      </w:pPr>
      <w:r>
        <w:rPr>
          <w:bCs/>
          <w:b/>
        </w:rPr>
        <w:t xml:space="preserve">Average the three.</w:t>
      </w:r>
      <w:r>
        <w:t xml:space="preserve"> </w:t>
      </w:r>
      <w:r>
        <w:t xml:space="preserve">The pressure score is the simple average of the climate, water and waste scores.</w:t>
      </w:r>
      <w:r>
        <w:t xml:space="preserve"> </w:t>
      </w:r>
      <w:r>
        <w:rPr>
          <w:bCs/>
          <w:b/>
        </w:rPr>
        <w:t xml:space="preserve">All three are required</w:t>
      </w:r>
      <w:r>
        <w:t xml:space="preserve">, so leaving something out can never help a company.</w:t>
      </w:r>
    </w:p>
    <w:p>
      <w:pPr>
        <w:numPr>
          <w:ilvl w:val="0"/>
          <w:numId w:val="1004"/>
        </w:numPr>
      </w:pPr>
      <w:r>
        <w:rPr>
          <w:bCs/>
          <w:b/>
        </w:rPr>
        <w:t xml:space="preserve">Add credit</w:t>
      </w:r>
      <w:r>
        <w:t xml:space="preserve"> </w:t>
      </w:r>
      <w:r>
        <w:t xml:space="preserve">(section 6): up to 10 points, with the total capped at 100.</w:t>
      </w:r>
    </w:p>
    <w:p>
      <w:pPr>
        <w:numPr>
          <w:ilvl w:val="0"/>
          <w:numId w:val="1004"/>
        </w:numPr>
      </w:pPr>
      <w:r>
        <w:rPr>
          <w:bCs/>
          <w:b/>
        </w:rPr>
        <w:t xml:space="preserve">Rank</w:t>
      </w:r>
      <w:r>
        <w:t xml:space="preserve"> </w:t>
      </w:r>
      <w:r>
        <w:t xml:space="preserve">within the peer group.</w:t>
      </w:r>
    </w:p>
    <w:p>
      <w:pPr>
        <w:pStyle w:val="FirstParagraph"/>
      </w:pPr>
      <w:r>
        <w:rPr>
          <w:bCs/>
          <w:b/>
        </w:rPr>
        <w:t xml:space="preserve">Worked example: ACC (cement, 11 companies ranked).</w:t>
      </w:r>
    </w:p>
    <w:p>
      <w:pPr>
        <w:numPr>
          <w:ilvl w:val="0"/>
          <w:numId w:val="1005"/>
        </w:numPr>
        <w:pStyle w:val="Compact"/>
      </w:pPr>
      <w:r>
        <w:rPr>
          <w:bCs/>
          <w:b/>
        </w:rPr>
        <w:t xml:space="preserve">Inputs.</w:t>
      </w:r>
      <w:r>
        <w:t xml:space="preserve"> </w:t>
      </w:r>
      <w:r>
        <w:t xml:space="preserve">Revenue is ₹25,766 crore. Emissions are 15,293,369 tonnes CO2e, so the intensity is 593.5 tonnes per ₹ crore.</w:t>
      </w:r>
    </w:p>
    <w:p>
      <w:pPr>
        <w:numPr>
          <w:ilvl w:val="0"/>
          <w:numId w:val="1005"/>
        </w:numPr>
        <w:pStyle w:val="Compact"/>
      </w:pPr>
      <w:r>
        <w:rPr>
          <w:bCs/>
          <w:b/>
        </w:rPr>
        <w:t xml:space="preserve">Climate.</w:t>
      </w:r>
      <w:r>
        <w:t xml:space="preserve"> </w:t>
      </w:r>
      <w:r>
        <w:t xml:space="preserve">This is the 3rd lowest of 11 companies, so the climate score is 100 × (11 − 3) ÷ 10 =</w:t>
      </w:r>
      <w:r>
        <w:t xml:space="preserve"> </w:t>
      </w:r>
      <w:r>
        <w:rPr>
          <w:bCs/>
          <w:b/>
        </w:rPr>
        <w:t xml:space="preserve">80</w:t>
      </w:r>
      <w:r>
        <w:t xml:space="preserve">.</w:t>
      </w:r>
    </w:p>
    <w:p>
      <w:pPr>
        <w:numPr>
          <w:ilvl w:val="0"/>
          <w:numId w:val="1005"/>
        </w:numPr>
        <w:pStyle w:val="Compact"/>
      </w:pPr>
      <w:r>
        <w:rPr>
          <w:bCs/>
          <w:b/>
        </w:rPr>
        <w:t xml:space="preserve">Water.</w:t>
      </w:r>
      <w:r>
        <w:t xml:space="preserve"> </w:t>
      </w:r>
      <w:r>
        <w:t xml:space="preserve">Also 3rd lowest of 11, so the water score is</w:t>
      </w:r>
      <w:r>
        <w:t xml:space="preserve"> </w:t>
      </w:r>
      <w:r>
        <w:rPr>
          <w:bCs/>
          <w:b/>
        </w:rPr>
        <w:t xml:space="preserve">80</w:t>
      </w:r>
      <w:r>
        <w:t xml:space="preserve">.</w:t>
      </w:r>
    </w:p>
    <w:p>
      <w:pPr>
        <w:numPr>
          <w:ilvl w:val="0"/>
          <w:numId w:val="1005"/>
        </w:numPr>
        <w:pStyle w:val="Compact"/>
      </w:pPr>
      <w:r>
        <w:rPr>
          <w:bCs/>
          <w:b/>
        </w:rPr>
        <w:t xml:space="preserve">Waste.</w:t>
      </w:r>
      <w:r>
        <w:t xml:space="preserve"> </w:t>
      </w:r>
      <w:r>
        <w:t xml:space="preserve">6th lowest, so the waste score is</w:t>
      </w:r>
      <w:r>
        <w:t xml:space="preserve"> </w:t>
      </w:r>
      <w:r>
        <w:rPr>
          <w:bCs/>
          <w:b/>
        </w:rPr>
        <w:t xml:space="preserve">50</w:t>
      </w:r>
      <w:r>
        <w:t xml:space="preserve">.</w:t>
      </w:r>
    </w:p>
    <w:p>
      <w:pPr>
        <w:numPr>
          <w:ilvl w:val="0"/>
          <w:numId w:val="1005"/>
        </w:numPr>
        <w:pStyle w:val="Compact"/>
      </w:pPr>
      <w:r>
        <w:rPr>
          <w:bCs/>
          <w:b/>
        </w:rPr>
        <w:t xml:space="preserve">Pressure score.</w:t>
      </w:r>
      <w:r>
        <w:t xml:space="preserve"> </w:t>
      </w:r>
      <w:r>
        <w:t xml:space="preserve">(80 + 80 + 50) ÷ 3 =</w:t>
      </w:r>
      <w:r>
        <w:t xml:space="preserve"> </w:t>
      </w:r>
      <w:r>
        <w:rPr>
          <w:bCs/>
          <w:b/>
        </w:rPr>
        <w:t xml:space="preserve">70.0</w:t>
      </w:r>
      <w:r>
        <w:t xml:space="preserve">.</w:t>
      </w:r>
    </w:p>
    <w:p>
      <w:pPr>
        <w:numPr>
          <w:ilvl w:val="0"/>
          <w:numId w:val="1005"/>
        </w:numPr>
        <w:pStyle w:val="Compact"/>
      </w:pPr>
      <w:r>
        <w:rPr>
          <w:bCs/>
          <w:b/>
        </w:rPr>
        <w:t xml:space="preserve">Credit.</w:t>
      </w:r>
      <w:r>
        <w:t xml:space="preserve"> </w:t>
      </w:r>
      <w:r>
        <w:t xml:space="preserve">ACC earns +5.6:</w:t>
      </w:r>
    </w:p>
    <w:p>
      <w:pPr>
        <w:numPr>
          <w:ilvl w:val="1"/>
          <w:numId w:val="1006"/>
        </w:numPr>
        <w:pStyle w:val="Compact"/>
      </w:pPr>
      <w:r>
        <w:t xml:space="preserve">+2 for tree planting;</w:t>
      </w:r>
    </w:p>
    <w:p>
      <w:pPr>
        <w:numPr>
          <w:ilvl w:val="1"/>
          <w:numId w:val="1006"/>
        </w:numPr>
        <w:pStyle w:val="Compact"/>
      </w:pPr>
      <w:r>
        <w:t xml:space="preserve">+3.0 because it recovers all its waste;</w:t>
      </w:r>
    </w:p>
    <w:p>
      <w:pPr>
        <w:numPr>
          <w:ilvl w:val="1"/>
          <w:numId w:val="1006"/>
        </w:numPr>
        <w:pStyle w:val="Compact"/>
      </w:pPr>
      <w:r>
        <w:t xml:space="preserve">+0.6 for a 28% renewable electricity share.</w:t>
      </w:r>
    </w:p>
    <w:p>
      <w:pPr>
        <w:numPr>
          <w:ilvl w:val="0"/>
          <w:numId w:val="1005"/>
        </w:numPr>
        <w:pStyle w:val="Compact"/>
      </w:pPr>
      <w:r>
        <w:rPr>
          <w:bCs/>
          <w:b/>
        </w:rPr>
        <w:t xml:space="preserve">Result.</w:t>
      </w:r>
      <w:r>
        <w:t xml:space="preserve"> </w:t>
      </w:r>
      <w:r>
        <w:t xml:space="preserve">Final score</w:t>
      </w:r>
      <w:r>
        <w:t xml:space="preserve"> </w:t>
      </w:r>
      <w:r>
        <w:rPr>
          <w:bCs/>
          <w:b/>
        </w:rPr>
        <w:t xml:space="preserve">75.6, rank 2 of 11</w:t>
      </w:r>
      <w:r>
        <w:t xml:space="preserve">. The credit does not change its place.</w:t>
      </w:r>
    </w:p>
    <w:p>
      <w:pPr>
        <w:numPr>
          <w:ilvl w:val="0"/>
          <w:numId w:val="1005"/>
        </w:numPr>
        <w:pStyle w:val="Compact"/>
      </w:pPr>
      <w:r>
        <w:rPr>
          <w:bCs/>
          <w:b/>
        </w:rPr>
        <w:t xml:space="preserve">Other views.</w:t>
      </w:r>
      <w:r>
        <w:t xml:space="preserve"> </w:t>
      </w:r>
      <w:r>
        <w:t xml:space="preserve">ACC is also 3rd per tonne of cement and 3rd on air pollution.</w:t>
      </w:r>
    </w:p>
    <w:bookmarkEnd w:id="24"/>
    <w:bookmarkStart w:id="25" w:name="X37258f0cfd684ce8a52f6e67e7b608be61d969e"/>
    <w:p>
      <w:pPr>
        <w:pStyle w:val="Heading2"/>
      </w:pPr>
      <w:r>
        <w:t xml:space="preserve">6. Credit for positive action (up to 10 points)</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1630"/>
        <w:gridCol w:w="3843"/>
        <w:gridCol w:w="931"/>
        <w:gridCol w:w="1514"/>
      </w:tblGrid>
      <w:tr>
        <w:trPr>
          <w:tblHeader w:val="true"/>
        </w:trPr>
        <w:tc>
          <w:tcPr/>
          <w:p>
            <w:pPr>
              <w:pStyle w:val="Compact"/>
              <w:jc w:val="left"/>
            </w:pPr>
            <w:r>
              <w:rPr>
                <w:rFonts w:ascii="Garamond" w:hAnsi="Garamond"/>
                <w:b/>
                <w:color w:val="1C3F2C"/>
                <w:sz w:val="19"/>
              </w:rPr>
              <w:t xml:space="preserve">Credit</w:t>
            </w:r>
          </w:p>
        </w:tc>
        <w:tc>
          <w:tcPr/>
          <w:p>
            <w:pPr>
              <w:pStyle w:val="Compact"/>
              <w:jc w:val="left"/>
            </w:pPr>
            <w:r>
              <w:rPr>
                <w:rFonts w:ascii="Garamond" w:hAnsi="Garamond"/>
                <w:b/>
                <w:color w:val="1C3F2C"/>
                <w:sz w:val="19"/>
              </w:rPr>
              <w:t xml:space="preserve">Rule</w:t>
            </w:r>
          </w:p>
        </w:tc>
        <w:tc>
          <w:tcPr/>
          <w:p>
            <w:pPr>
              <w:pStyle w:val="Compact"/>
              <w:jc w:val="right"/>
            </w:pPr>
            <w:r>
              <w:rPr>
                <w:rFonts w:ascii="Garamond" w:hAnsi="Garamond"/>
                <w:b/>
                <w:color w:val="1C3F2C"/>
                <w:sz w:val="19"/>
              </w:rPr>
              <w:t xml:space="preserve">Points</w:t>
            </w:r>
          </w:p>
        </w:tc>
        <w:tc>
          <w:tcPr/>
          <w:p>
            <w:pPr>
              <w:pStyle w:val="Compact"/>
              <w:jc w:val="right"/>
            </w:pPr>
            <w:r>
              <w:rPr>
                <w:rFonts w:ascii="Garamond" w:hAnsi="Garamond"/>
                <w:b/>
                <w:color w:val="1C3F2C"/>
                <w:sz w:val="19"/>
              </w:rPr>
              <w:t xml:space="preserve">Companies</w:t>
            </w:r>
          </w:p>
        </w:tc>
      </w:tr>
      <w:tr>
        <w:tc>
          <w:tcPr/>
          <w:p>
            <w:pPr>
              <w:pStyle w:val="Compact"/>
              <w:jc w:val="left"/>
            </w:pPr>
            <w:r>
              <w:rPr>
                <w:rFonts w:ascii="Garamond" w:hAnsi="Garamond"/>
                <w:sz w:val="19"/>
              </w:rPr>
              <w:t xml:space="preserve">Restoration, Tier A</w:t>
            </w:r>
          </w:p>
        </w:tc>
        <w:tc>
          <w:tcPr/>
          <w:p>
            <w:pPr>
              <w:pStyle w:val="Compact"/>
              <w:jc w:val="left"/>
            </w:pPr>
            <w:r>
              <w:rPr>
                <w:rFonts w:ascii="Garamond" w:hAnsi="Garamond"/>
                <w:sz w:val="19"/>
              </w:rPr>
              <w:t xml:space="preserve">At least 10 ha restored, afforested or conserved, stated as an area</w:t>
            </w:r>
          </w:p>
        </w:tc>
        <w:tc>
          <w:tcPr/>
          <w:p>
            <w:pPr>
              <w:pStyle w:val="Compact"/>
              <w:jc w:val="right"/>
            </w:pPr>
            <w:r>
              <w:rPr>
                <w:rFonts w:ascii="Garamond" w:hAnsi="Garamond"/>
                <w:sz w:val="19"/>
              </w:rPr>
              <w:t xml:space="preserve">+5</w:t>
            </w:r>
          </w:p>
        </w:tc>
        <w:tc>
          <w:tcPr/>
          <w:p>
            <w:pPr>
              <w:pStyle w:val="Compact"/>
              <w:jc w:val="right"/>
            </w:pPr>
            <w:r>
              <w:rPr>
                <w:rFonts w:ascii="Garamond" w:hAnsi="Garamond"/>
                <w:sz w:val="19"/>
              </w:rPr>
              <w:t xml:space="preserve">6</w:t>
            </w:r>
          </w:p>
        </w:tc>
      </w:tr>
      <w:tr>
        <w:tc>
          <w:tcPr/>
          <w:p>
            <w:pPr>
              <w:pStyle w:val="Compact"/>
              <w:jc w:val="left"/>
            </w:pPr>
            <w:r>
              <w:rPr>
                <w:rFonts w:ascii="Garamond" w:hAnsi="Garamond"/>
                <w:sz w:val="19"/>
              </w:rPr>
              <w:t xml:space="preserve">Restoration, Tier B</w:t>
            </w:r>
          </w:p>
        </w:tc>
        <w:tc>
          <w:tcPr/>
          <w:p>
            <w:pPr>
              <w:pStyle w:val="Compact"/>
              <w:jc w:val="left"/>
            </w:pPr>
            <w:r>
              <w:rPr>
                <w:rFonts w:ascii="Garamond" w:hAnsi="Garamond"/>
                <w:sz w:val="19"/>
              </w:rPr>
              <w:t xml:space="preserve">Other measured restoration: tree planting, water bodies, smaller areas</w:t>
            </w:r>
          </w:p>
        </w:tc>
        <w:tc>
          <w:tcPr/>
          <w:p>
            <w:pPr>
              <w:pStyle w:val="Compact"/>
              <w:jc w:val="right"/>
            </w:pPr>
            <w:r>
              <w:rPr>
                <w:rFonts w:ascii="Garamond" w:hAnsi="Garamond"/>
                <w:sz w:val="19"/>
              </w:rPr>
              <w:t xml:space="preserve">+2</w:t>
            </w:r>
          </w:p>
        </w:tc>
        <w:tc>
          <w:tcPr/>
          <w:p>
            <w:pPr>
              <w:pStyle w:val="Compact"/>
              <w:jc w:val="right"/>
            </w:pPr>
            <w:r>
              <w:rPr>
                <w:rFonts w:ascii="Garamond" w:hAnsi="Garamond"/>
                <w:sz w:val="19"/>
              </w:rPr>
              <w:t xml:space="preserve">75</w:t>
            </w:r>
          </w:p>
        </w:tc>
      </w:tr>
      <w:tr>
        <w:tc>
          <w:tcPr/>
          <w:p>
            <w:pPr>
              <w:pStyle w:val="Compact"/>
              <w:jc w:val="left"/>
            </w:pPr>
            <w:r>
              <w:rPr>
                <w:rFonts w:ascii="Garamond" w:hAnsi="Garamond"/>
                <w:sz w:val="19"/>
              </w:rPr>
              <w:t xml:space="preserve">Recycling</w:t>
            </w:r>
          </w:p>
        </w:tc>
        <w:tc>
          <w:tcPr/>
          <w:p>
            <w:pPr>
              <w:pStyle w:val="Compact"/>
              <w:jc w:val="left"/>
            </w:pPr>
            <w:r>
              <w:rPr>
                <w:rFonts w:ascii="Garamond" w:hAnsi="Garamond"/>
                <w:sz w:val="19"/>
              </w:rPr>
              <w:t xml:space="preserve">3 × share of waste recovered</w:t>
            </w:r>
          </w:p>
        </w:tc>
        <w:tc>
          <w:tcPr/>
          <w:p>
            <w:pPr>
              <w:pStyle w:val="Compact"/>
              <w:jc w:val="right"/>
            </w:pPr>
            <w:r>
              <w:rPr>
                <w:rFonts w:ascii="Garamond" w:hAnsi="Garamond"/>
                <w:sz w:val="19"/>
              </w:rPr>
              <w:t xml:space="preserve">0–3</w:t>
            </w:r>
          </w:p>
        </w:tc>
        <w:tc>
          <w:tcPr/>
          <w:p>
            <w:pPr>
              <w:pStyle w:val="Compact"/>
              <w:jc w:val="right"/>
            </w:pPr>
            <w:r>
              <w:rPr>
                <w:rFonts w:ascii="Garamond" w:hAnsi="Garamond"/>
                <w:sz w:val="19"/>
              </w:rPr>
              <w:t xml:space="preserve">416</w:t>
            </w:r>
          </w:p>
        </w:tc>
      </w:tr>
      <w:tr>
        <w:tc>
          <w:tcPr/>
          <w:p>
            <w:pPr>
              <w:pStyle w:val="Compact"/>
              <w:jc w:val="left"/>
            </w:pPr>
            <w:r>
              <w:rPr>
                <w:rFonts w:ascii="Garamond" w:hAnsi="Garamond"/>
                <w:sz w:val="19"/>
              </w:rPr>
              <w:t xml:space="preserve">Renewable electricity</w:t>
            </w:r>
          </w:p>
        </w:tc>
        <w:tc>
          <w:tcPr/>
          <w:p>
            <w:pPr>
              <w:pStyle w:val="Compact"/>
              <w:jc w:val="left"/>
            </w:pPr>
            <w:r>
              <w:rPr>
                <w:rFonts w:ascii="Garamond" w:hAnsi="Garamond"/>
                <w:sz w:val="19"/>
              </w:rPr>
              <w:t xml:space="preserve">2 × renewable share of electricity</w:t>
            </w:r>
          </w:p>
        </w:tc>
        <w:tc>
          <w:tcPr/>
          <w:p>
            <w:pPr>
              <w:pStyle w:val="Compact"/>
              <w:jc w:val="right"/>
            </w:pPr>
            <w:r>
              <w:rPr>
                <w:rFonts w:ascii="Garamond" w:hAnsi="Garamond"/>
                <w:sz w:val="19"/>
              </w:rPr>
              <w:t xml:space="preserve">0–2</w:t>
            </w:r>
          </w:p>
        </w:tc>
        <w:tc>
          <w:tcPr/>
          <w:p>
            <w:pPr>
              <w:pStyle w:val="Compact"/>
              <w:jc w:val="right"/>
            </w:pPr>
            <w:r>
              <w:rPr>
                <w:rFonts w:ascii="Garamond" w:hAnsi="Garamond"/>
                <w:sz w:val="19"/>
              </w:rPr>
              <w:t xml:space="preserve">410</w:t>
            </w:r>
          </w:p>
        </w:tc>
      </w:tr>
    </w:tbl>
    <w:p>
      <w:pPr>
        <w:pStyle w:val="BodyText"/>
      </w:pPr>
      <w:r>
        <w:t xml:space="preserve">The following earn</w:t>
      </w:r>
      <w:r>
        <w:t xml:space="preserve"> </w:t>
      </w:r>
      <w:r>
        <w:rPr>
          <w:bCs/>
          <w:b/>
        </w:rPr>
        <w:t xml:space="preserve">no</w:t>
      </w:r>
      <w:r>
        <w:t xml:space="preserve"> </w:t>
      </w:r>
      <w:r>
        <w:t xml:space="preserve">restoration credit:</w:t>
      </w:r>
    </w:p>
    <w:p>
      <w:pPr>
        <w:numPr>
          <w:ilvl w:val="0"/>
          <w:numId w:val="1007"/>
        </w:numPr>
        <w:pStyle w:val="Compact"/>
      </w:pPr>
      <w:r>
        <w:t xml:space="preserve">plans and promises;</w:t>
      </w:r>
    </w:p>
    <w:p>
      <w:pPr>
        <w:numPr>
          <w:ilvl w:val="0"/>
          <w:numId w:val="1007"/>
        </w:numPr>
        <w:pStyle w:val="Compact"/>
      </w:pPr>
      <w:r>
        <w:t xml:space="preserve">unfinished work;</w:t>
      </w:r>
    </w:p>
    <w:p>
      <w:pPr>
        <w:numPr>
          <w:ilvl w:val="0"/>
          <w:numId w:val="1007"/>
        </w:numPr>
        <w:pStyle w:val="Compact"/>
      </w:pPr>
      <w:r>
        <w:t xml:space="preserve">farm or sourcing programmes;</w:t>
      </w:r>
    </w:p>
    <w:p>
      <w:pPr>
        <w:numPr>
          <w:ilvl w:val="0"/>
          <w:numId w:val="1007"/>
        </w:numPr>
        <w:pStyle w:val="Compact"/>
      </w:pPr>
      <w:r>
        <w:t xml:space="preserve">statements without a number;</w:t>
      </w:r>
    </w:p>
    <w:p>
      <w:pPr>
        <w:numPr>
          <w:ilvl w:val="0"/>
          <w:numId w:val="1007"/>
        </w:numPr>
        <w:pStyle w:val="Compact"/>
      </w:pPr>
      <w:r>
        <w:t xml:space="preserve">compensatory afforestation required by law for forest a company has cleared.</w:t>
      </w:r>
    </w:p>
    <w:p>
      <w:pPr>
        <w:pStyle w:val="FirstParagraph"/>
      </w:pPr>
      <w:r>
        <w:t xml:space="preserve">Credit is deliberately small:</w:t>
      </w:r>
    </w:p>
    <w:p>
      <w:pPr>
        <w:numPr>
          <w:ilvl w:val="0"/>
          <w:numId w:val="1008"/>
        </w:numPr>
        <w:pStyle w:val="Compact"/>
      </w:pPr>
      <w:r>
        <w:t xml:space="preserve">The largest effect is 5 places, in Healthcare.</w:t>
      </w:r>
    </w:p>
    <w:p>
      <w:pPr>
        <w:numPr>
          <w:ilvl w:val="0"/>
          <w:numId w:val="1008"/>
        </w:numPr>
        <w:pStyle w:val="Compact"/>
      </w:pPr>
      <w:r>
        <w:t xml:space="preserve">In 13 of 16 ranked groups, no company gains more than 2 places.</w:t>
      </w:r>
    </w:p>
    <w:p>
      <w:pPr>
        <w:numPr>
          <w:ilvl w:val="0"/>
          <w:numId w:val="1008"/>
        </w:numPr>
        <w:pStyle w:val="Compact"/>
      </w:pPr>
      <w:r>
        <w:t xml:space="preserve">Rank order with and without credit is almost identical in every group (rank correlation 0.99 or higher).</w:t>
      </w:r>
    </w:p>
    <w:p>
      <w:pPr>
        <w:pStyle w:val="FirstParagraph"/>
      </w:pPr>
      <w:r>
        <w:t xml:space="preserve">Most manufacturers recover most of their waste, so the recycling credit varies little between them. Credit does not measure whether restoration has actually worked.</w:t>
      </w:r>
    </w:p>
    <w:bookmarkEnd w:id="25"/>
    <w:bookmarkStart w:id="26" w:name="physical-output-for-cement-and-power"/>
    <w:p>
      <w:pPr>
        <w:pStyle w:val="Heading2"/>
      </w:pPr>
      <w:r>
        <w:t xml:space="preserve">7. Physical output for cement and power</w:t>
      </w:r>
    </w:p>
    <w:p>
      <w:pPr>
        <w:pStyle w:val="FirstParagraph"/>
      </w:pPr>
      <w:r>
        <w:t xml:space="preserve">Revenue is a fair yardstick across most sectors, but it favours expensive products. For cement and power, a physical yardstick was also tested: tonnes of cement and megawatt-hours generated. These are reported on a matching basis by nearly all peers and are used in international reporting standards (SASB/ISSB).</w:t>
      </w:r>
    </w:p>
    <w:p>
      <w:pPr>
        <w:numPr>
          <w:ilvl w:val="0"/>
          <w:numId w:val="1009"/>
        </w:numPr>
        <w:pStyle w:val="Compact"/>
      </w:pPr>
      <w:r>
        <w:rPr>
          <w:bCs/>
          <w:b/>
        </w:rPr>
        <w:t xml:space="preserve">Cement:</w:t>
      </w:r>
      <w:r>
        <w:t xml:space="preserve"> </w:t>
      </w:r>
      <w:r>
        <w:t xml:space="preserve">all 10 pure cement companies have production data. Their per-tonne ranks are shown as the headline cement view, next to the revenue rank, and the two agree closely (rank correlation 0.92). Grasim is left out of this view because its standalone business is mainly fibres and chemicals.</w:t>
      </w:r>
    </w:p>
    <w:p>
      <w:pPr>
        <w:numPr>
          <w:ilvl w:val="0"/>
          <w:numId w:val="1009"/>
        </w:numPr>
        <w:pStyle w:val="Compact"/>
      </w:pPr>
      <w:r>
        <w:rPr>
          <w:bCs/>
          <w:b/>
        </w:rPr>
        <w:t xml:space="preserve">Power:</w:t>
      </w:r>
      <w:r>
        <w:t xml:space="preserve"> </w:t>
      </w:r>
      <w:r>
        <w:t xml:space="preserve">generation figures were found for 10 generators. One of them (CESC) has a value held back (section 4), which leaves 9, below the 10 needed for a rank. The per-MWh intensities are shown, but not ranked. Transmission and distribution companies have no generation figure.</w:t>
      </w:r>
    </w:p>
    <w:p>
      <w:pPr>
        <w:pStyle w:val="FirstParagraph"/>
      </w:pPr>
      <w:r>
        <w:t xml:space="preserve">No other sector has an output measure that companies report consistently enough. Steel, for example, mixes crude steel, sponge iron, ferro-alloys and mining. Those sectors stay on revenue.</w:t>
      </w:r>
    </w:p>
    <w:bookmarkEnd w:id="26"/>
    <w:bookmarkStart w:id="27" w:name="other-views-not-part-of-the-main-rank"/>
    <w:p>
      <w:pPr>
        <w:pStyle w:val="Heading2"/>
      </w:pPr>
      <w:r>
        <w:t xml:space="preserve">8. Other views (not part of the main rank)</w:t>
      </w:r>
    </w:p>
    <w:p>
      <w:pPr>
        <w:pStyle w:val="FirstParagraph"/>
      </w:pPr>
      <w:r>
        <w:rPr>
          <w:bCs/>
          <w:b/>
        </w:rPr>
        <w:t xml:space="preserve">Air pollution.</w:t>
      </w:r>
      <w:r>
        <w:t xml:space="preserve"> </w:t>
      </w:r>
      <w:r>
        <w:t xml:space="preserve">Companies that report the total tonnes of NOx, SOx and dust are ranked on air within their group where at least 10 report it:</w:t>
      </w:r>
      <w:r>
        <w:t xml:space="preserve"> </w:t>
      </w:r>
      <w:r>
        <w:rPr>
          <w:bCs/>
          <w:b/>
        </w:rPr>
        <w:t xml:space="preserve">169 companies in 9 groups</w:t>
      </w:r>
      <w:r>
        <w:t xml:space="preserve">. Many companies report only how concentrated pollution is at the chimney, which cannot be turned into tonnes.</w:t>
      </w:r>
    </w:p>
    <w:p>
      <w:pPr>
        <w:pStyle w:val="BodyText"/>
      </w:pPr>
      <w:r>
        <w:rPr>
          <w:bCs/>
          <w:b/>
        </w:rPr>
        <w:t xml:space="preserve">Per rupee of profit.</w:t>
      </w:r>
      <w:r>
        <w:t xml:space="preserve"> </w:t>
      </w:r>
      <w:r>
        <w:t xml:space="preserve">As a check, each company is also scored per rupee of profit after tax (350 companies). Loss-making companies are left out. Revenue-based and profit-based ranks broadly agree (median rank correlation 0.79). They agree less in service sectors, where profit margins vary widely.</w:t>
      </w:r>
    </w:p>
    <w:p>
      <w:pPr>
        <w:pStyle w:val="BodyText"/>
      </w:pPr>
      <w:r>
        <w:rPr>
          <w:bCs/>
          <w:b/>
        </w:rPr>
        <w:t xml:space="preserve">Land and biodiversity: a pilot.</w:t>
      </w:r>
    </w:p>
    <w:p>
      <w:pPr>
        <w:pStyle w:val="BlockText"/>
      </w:pPr>
      <w:r>
        <w:t xml:space="preserve">net degraded hectares = land held (owned + leased, including mining leases) × how much nature that kind of land typically loses − land restored by the company on its own sites</w:t>
      </w:r>
    </w:p>
    <w:p>
      <w:pPr>
        <w:pStyle w:val="FirstParagraph"/>
      </w:pPr>
      <w:r>
        <w:t xml:space="preserve">The</w:t>
      </w:r>
      <w:r>
        <w:t xml:space="preserve"> </w:t>
      </w:r>
      <w:r>
        <w:t xml:space="preserve">“</w:t>
      </w:r>
      <w:r>
        <w:t xml:space="preserve">how much nature is lost</w:t>
      </w:r>
      <w:r>
        <w:t xml:space="preserve">”</w:t>
      </w:r>
      <w:r>
        <w:t xml:space="preserve"> </w:t>
      </w:r>
      <w:r>
        <w:t xml:space="preserve">ratio comes from three independent scientific approaches (GLOBIO, PREDICTS and life-cycle land-use factors). It ranges from about 0.60 for most sectors to 0.75 for mining. Restored land is subtracted hectare for hectare, which assumes full recovery; this is a simplification.</w:t>
      </w:r>
    </w:p>
    <w:p>
      <w:pPr>
        <w:numPr>
          <w:ilvl w:val="0"/>
          <w:numId w:val="1010"/>
        </w:numPr>
        <w:pStyle w:val="Compact"/>
      </w:pPr>
      <w:r>
        <w:rPr>
          <w:bCs/>
          <w:b/>
        </w:rPr>
        <w:t xml:space="preserve">Coverage.</w:t>
      </w:r>
      <w:r>
        <w:t xml:space="preserve"> </w:t>
      </w:r>
      <w:r>
        <w:t xml:space="preserve">Companies do not report land area in their BRSR: we checked all 465 filings. So land was searched by hand for 106 companies in land-heavy sectors, in annual reports, mining-lease tables and environmental-clearance papers. A credible company-wide total was found for</w:t>
      </w:r>
      <w:r>
        <w:t xml:space="preserve"> </w:t>
      </w:r>
      <w:r>
        <w:rPr>
          <w:bCs/>
          <w:b/>
        </w:rPr>
        <w:t xml:space="preserve">19 companies</w:t>
      </w:r>
      <w:r>
        <w:t xml:space="preserve"> </w:t>
      </w:r>
      <w:r>
        <w:t xml:space="preserve">(14 of the 106, plus 5 found earlier). Most companies give land only as a rupee book value, or for single plants.</w:t>
      </w:r>
    </w:p>
    <w:p>
      <w:pPr>
        <w:numPr>
          <w:ilvl w:val="0"/>
          <w:numId w:val="1010"/>
        </w:numPr>
        <w:pStyle w:val="Compact"/>
      </w:pPr>
      <w:r>
        <w:rPr>
          <w:bCs/>
          <w:b/>
        </w:rPr>
        <w:t xml:space="preserve">No rank.</w:t>
      </w:r>
      <w:r>
        <w:t xml:space="preserve"> </w:t>
      </w:r>
      <w:r>
        <w:t xml:space="preserve">No group has 10 companies with land data, so this is a</w:t>
      </w:r>
      <w:r>
        <w:t xml:space="preserve"> </w:t>
      </w:r>
      <w:r>
        <w:rPr>
          <w:bCs/>
          <w:b/>
        </w:rPr>
        <w:t xml:space="preserve">pilot, not a ranking</w:t>
      </w:r>
      <w:r>
        <w:t xml:space="preserve">.</w:t>
      </w:r>
    </w:p>
    <w:p>
      <w:pPr>
        <w:numPr>
          <w:ilvl w:val="0"/>
          <w:numId w:val="1010"/>
        </w:numPr>
        <w:pStyle w:val="Compact"/>
      </w:pPr>
      <w:r>
        <w:rPr>
          <w:bCs/>
          <w:b/>
        </w:rPr>
        <w:t xml:space="preserve">Legacy figures.</w:t>
      </w:r>
      <w:r>
        <w:t xml:space="preserve"> </w:t>
      </w:r>
      <w:r>
        <w:t xml:space="preserve">Land figures from Urvara’s earlier Nature Impact Index are shown separately for reference only. Where both exist, they are typically 2.5 times the verified figure.</w:t>
      </w:r>
    </w:p>
    <w:p>
      <w:pPr>
        <w:numPr>
          <w:ilvl w:val="0"/>
          <w:numId w:val="1010"/>
        </w:numPr>
        <w:pStyle w:val="Compact"/>
      </w:pPr>
      <w:r>
        <w:rPr>
          <w:bCs/>
          <w:b/>
        </w:rPr>
        <w:t xml:space="preserve">The fix is one disclosure.</w:t>
      </w:r>
      <w:r>
        <w:t xml:space="preserve"> </w:t>
      </w:r>
      <w:r>
        <w:t xml:space="preserve">If companies reported</w:t>
      </w:r>
      <w:r>
        <w:t xml:space="preserve"> </w:t>
      </w:r>
      <w:r>
        <w:rPr>
          <w:iCs/>
          <w:i/>
        </w:rPr>
        <w:t xml:space="preserve">total land owned and leased, in hectares, including mining leases</w:t>
      </w:r>
      <w:r>
        <w:t xml:space="preserve">, this method could rank every company.</w:t>
      </w:r>
    </w:p>
    <w:bookmarkEnd w:id="27"/>
    <w:bookmarkStart w:id="28" w:name="limits-to-keep-in-mind"/>
    <w:p>
      <w:pPr>
        <w:pStyle w:val="Heading2"/>
      </w:pPr>
      <w:r>
        <w:t xml:space="preserve">9. Limits to keep in mind</w:t>
      </w:r>
    </w:p>
    <w:p>
      <w:pPr>
        <w:numPr>
          <w:ilvl w:val="0"/>
          <w:numId w:val="1011"/>
        </w:numPr>
        <w:pStyle w:val="Compact"/>
      </w:pPr>
      <w:r>
        <w:rPr>
          <w:bCs/>
          <w:b/>
        </w:rPr>
        <w:t xml:space="preserve">Pressure, not impact.</w:t>
      </w:r>
      <w:r>
        <w:t xml:space="preserve"> </w:t>
      </w:r>
      <w:r>
        <w:t xml:space="preserve">CLBI measures what drives biodiversity loss, not biodiversity itself.</w:t>
      </w:r>
    </w:p>
    <w:p>
      <w:pPr>
        <w:numPr>
          <w:ilvl w:val="0"/>
          <w:numId w:val="1011"/>
        </w:numPr>
        <w:pStyle w:val="Compact"/>
      </w:pPr>
      <w:r>
        <w:rPr>
          <w:bCs/>
          <w:b/>
        </w:rPr>
        <w:t xml:space="preserve">Own operations only.</w:t>
      </w:r>
      <w:r>
        <w:t xml:space="preserve"> </w:t>
      </w:r>
      <w:r>
        <w:t xml:space="preserve">Supply chains, the use of products and lending or investment are excluded.</w:t>
      </w:r>
    </w:p>
    <w:p>
      <w:pPr>
        <w:numPr>
          <w:ilvl w:val="0"/>
          <w:numId w:val="1011"/>
        </w:numPr>
        <w:pStyle w:val="Compact"/>
      </w:pPr>
      <w:r>
        <w:rPr>
          <w:bCs/>
          <w:b/>
        </w:rPr>
        <w:t xml:space="preserve">Self-reported.</w:t>
      </w:r>
      <w:r>
        <w:t xml:space="preserve"> </w:t>
      </w:r>
      <w:r>
        <w:t xml:space="preserve">Values are taken as published. Many are independently assured under BRSR Core, but CLBI does not audit them.</w:t>
      </w:r>
    </w:p>
    <w:p>
      <w:pPr>
        <w:numPr>
          <w:ilvl w:val="0"/>
          <w:numId w:val="1011"/>
        </w:numPr>
        <w:pStyle w:val="Compact"/>
      </w:pPr>
      <w:r>
        <w:rPr>
          <w:bCs/>
          <w:b/>
        </w:rPr>
        <w:t xml:space="preserve">Mixed businesses.</w:t>
      </w:r>
      <w:r>
        <w:t xml:space="preserve"> </w:t>
      </w:r>
      <w:r>
        <w:t xml:space="preserve">NSE sectors put different businesses together: thermal plants with hydro and transmission, drug makers with hospitals. The dataset flags companies whose main activity does not match their sector, for example Aditya Birla Real Estate’s paper business, or companies that mostly trade.</w:t>
      </w:r>
    </w:p>
    <w:p>
      <w:pPr>
        <w:numPr>
          <w:ilvl w:val="0"/>
          <w:numId w:val="1011"/>
        </w:numPr>
        <w:pStyle w:val="Compact"/>
      </w:pPr>
      <w:r>
        <w:rPr>
          <w:bCs/>
          <w:b/>
        </w:rPr>
        <w:t xml:space="preserve">Check before naming.</w:t>
      </w:r>
      <w:r>
        <w:t xml:space="preserve"> </w:t>
      </w:r>
      <w:r>
        <w:t xml:space="preserve">36 ranked companies carry a</w:t>
      </w:r>
      <w:r>
        <w:t xml:space="preserve"> </w:t>
      </w:r>
      <w:r>
        <w:t xml:space="preserve">“</w:t>
      </w:r>
      <w:r>
        <w:t xml:space="preserve">check before naming</w:t>
      </w:r>
      <w:r>
        <w:t xml:space="preserve">”</w:t>
      </w:r>
      <w:r>
        <w:t xml:space="preserve"> </w:t>
      </w:r>
      <w:r>
        <w:t xml:space="preserve">flag. Either their business is not like-for-like with their peers, or one of their scored values is 100–300 times from the peer median: inside the hold-back line, but unusual. Their rank stands, but they should not be singled out, for example as a sector leader, until the value is checked with the company.</w:t>
      </w:r>
    </w:p>
    <w:p>
      <w:pPr>
        <w:numPr>
          <w:ilvl w:val="0"/>
          <w:numId w:val="1011"/>
        </w:numPr>
        <w:pStyle w:val="Compact"/>
      </w:pPr>
      <w:r>
        <w:rPr>
          <w:bCs/>
          <w:b/>
        </w:rPr>
        <w:t xml:space="preserve">Standalone and consolidated mixed.</w:t>
      </w:r>
      <w:r>
        <w:t xml:space="preserve"> </w:t>
      </w:r>
      <w:r>
        <w:t xml:space="preserve">286 ranked companies report their BRSR on a standalone basis and 86 on a consolidated basis, sometimes within the same peer group. Revenue always matches the company’s own BRSR basis.</w:t>
      </w:r>
    </w:p>
    <w:p>
      <w:pPr>
        <w:numPr>
          <w:ilvl w:val="0"/>
          <w:numId w:val="1011"/>
        </w:numPr>
        <w:pStyle w:val="Compact"/>
      </w:pPr>
      <w:r>
        <w:rPr>
          <w:bCs/>
          <w:b/>
        </w:rPr>
        <w:t xml:space="preserve">Weights and water.</w:t>
      </w:r>
      <w:r>
        <w:t xml:space="preserve"> </w:t>
      </w:r>
      <w:r>
        <w:t xml:space="preserve">The three pressures are weighted equally. Water is withdrawal, which penalises plants cooled with seawater. Using water consumption instead changes ranks very little: rank correlation is 0.90 or higher in every group except banks (0.80).</w:t>
      </w:r>
    </w:p>
    <w:p>
      <w:pPr>
        <w:numPr>
          <w:ilvl w:val="0"/>
          <w:numId w:val="1011"/>
        </w:numPr>
        <w:pStyle w:val="Compact"/>
      </w:pPr>
      <w:r>
        <w:rPr>
          <w:bCs/>
          <w:b/>
        </w:rPr>
        <w:t xml:space="preserve">Six ranked companies carry a revenue note.</w:t>
      </w:r>
      <w:r>
        <w:t xml:space="preserve"> </w:t>
      </w:r>
      <w:r>
        <w:t xml:space="preserve">Examples are discontinued operations, or an unstated BRSR boundary. These are flagged in the dataset.</w:t>
      </w:r>
    </w:p>
    <w:p>
      <w:pPr>
        <w:numPr>
          <w:ilvl w:val="0"/>
          <w:numId w:val="1011"/>
        </w:numPr>
        <w:pStyle w:val="Compact"/>
      </w:pPr>
      <w:r>
        <w:rPr>
          <w:bCs/>
          <w:b/>
        </w:rPr>
        <w:t xml:space="preserve">One year only.</w:t>
      </w:r>
      <w:r>
        <w:t xml:space="preserve"> </w:t>
      </w:r>
      <w:r>
        <w:t xml:space="preserve">CLBI v1.1 is a snapshot and does not show improvement over time.</w:t>
      </w:r>
    </w:p>
    <w:p>
      <w:pPr>
        <w:numPr>
          <w:ilvl w:val="0"/>
          <w:numId w:val="1011"/>
        </w:numPr>
        <w:pStyle w:val="Compact"/>
      </w:pPr>
      <w:r>
        <w:rPr>
          <w:bCs/>
          <w:b/>
        </w:rPr>
        <w:t xml:space="preserve">Not ranked:</w:t>
      </w:r>
      <w:r>
        <w:t xml:space="preserve"> </w:t>
      </w:r>
      <w:r>
        <w:t xml:space="preserve">64 of the 437 companies in ranked groups, and all companies in the smaller groups. The reasons:</w:t>
      </w:r>
    </w:p>
    <w:p>
      <w:pPr>
        <w:numPr>
          <w:ilvl w:val="1"/>
          <w:numId w:val="1012"/>
        </w:numPr>
        <w:pStyle w:val="Compact"/>
      </w:pPr>
      <w:r>
        <w:t xml:space="preserve">a missing value;</w:t>
      </w:r>
    </w:p>
    <w:p>
      <w:pPr>
        <w:numPr>
          <w:ilvl w:val="1"/>
          <w:numId w:val="1012"/>
        </w:numPr>
        <w:pStyle w:val="Compact"/>
      </w:pPr>
      <w:r>
        <w:t xml:space="preserve">a reported zero awaiting confirmation;</w:t>
      </w:r>
    </w:p>
    <w:p>
      <w:pPr>
        <w:numPr>
          <w:ilvl w:val="1"/>
          <w:numId w:val="1012"/>
        </w:numPr>
        <w:pStyle w:val="Compact"/>
      </w:pPr>
      <w:r>
        <w:t xml:space="preserve">a held-back value;</w:t>
      </w:r>
    </w:p>
    <w:p>
      <w:pPr>
        <w:numPr>
          <w:ilvl w:val="1"/>
          <w:numId w:val="1012"/>
        </w:numPr>
        <w:pStyle w:val="Compact"/>
      </w:pPr>
      <w:r>
        <w:t xml:space="preserve">a revenue period that does not match the BRSR year;</w:t>
      </w:r>
    </w:p>
    <w:p>
      <w:pPr>
        <w:numPr>
          <w:ilvl w:val="1"/>
          <w:numId w:val="1012"/>
        </w:numPr>
        <w:pStyle w:val="Compact"/>
      </w:pPr>
      <w:r>
        <w:t xml:space="preserve">a group too small to rank.</w:t>
      </w:r>
    </w:p>
    <w:bookmarkEnd w:id="28"/>
    <w:bookmarkStart w:id="29" w:name="sources"/>
    <w:p>
      <w:pPr>
        <w:pStyle w:val="Heading2"/>
      </w:pPr>
      <w:r>
        <w:t xml:space="preserve">10. Sources</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4840"/>
        <w:gridCol w:w="3080"/>
      </w:tblGrid>
      <w:tr>
        <w:trPr>
          <w:tblHeader w:val="true"/>
        </w:trPr>
        <w:tc>
          <w:tcPr/>
          <w:p>
            <w:pPr>
              <w:pStyle w:val="Compact"/>
              <w:jc w:val="left"/>
            </w:pPr>
            <w:r>
              <w:rPr>
                <w:rFonts w:ascii="Garamond" w:hAnsi="Garamond"/>
                <w:b/>
                <w:color w:val="1C3F2C"/>
                <w:sz w:val="19"/>
              </w:rPr>
              <w:t xml:space="preserve">Source</w:t>
            </w:r>
          </w:p>
        </w:tc>
        <w:tc>
          <w:tcPr/>
          <w:p>
            <w:pPr>
              <w:pStyle w:val="Compact"/>
              <w:jc w:val="left"/>
            </w:pPr>
            <w:r>
              <w:rPr>
                <w:rFonts w:ascii="Garamond" w:hAnsi="Garamond"/>
                <w:b/>
                <w:color w:val="1C3F2C"/>
                <w:sz w:val="19"/>
              </w:rPr>
              <w:t xml:space="preserve">Period</w:t>
            </w:r>
          </w:p>
        </w:tc>
      </w:tr>
      <w:tr>
        <w:tc>
          <w:tcPr/>
          <w:p>
            <w:pPr>
              <w:pStyle w:val="Compact"/>
              <w:jc w:val="left"/>
            </w:pPr>
            <w:r>
              <w:rPr>
                <w:rFonts w:ascii="Garamond" w:hAnsi="Garamond"/>
                <w:sz w:val="19"/>
              </w:rPr>
              <w:t xml:space="preserve">BRSR data files and PDFs, NSE filings archive</w:t>
            </w:r>
          </w:p>
        </w:tc>
        <w:tc>
          <w:tcPr/>
          <w:p>
            <w:pPr>
              <w:pStyle w:val="Compact"/>
              <w:jc w:val="left"/>
            </w:pPr>
            <w:r>
              <w:rPr>
                <w:rFonts w:ascii="Garamond" w:hAnsi="Garamond"/>
                <w:sz w:val="19"/>
              </w:rPr>
              <w:t xml:space="preserve">FY2025-26, collected 22–27 Oct 2026</w:t>
            </w:r>
          </w:p>
        </w:tc>
      </w:tr>
      <w:tr>
        <w:tc>
          <w:tcPr/>
          <w:p>
            <w:pPr>
              <w:pStyle w:val="Compact"/>
              <w:jc w:val="left"/>
            </w:pPr>
            <w:r>
              <w:rPr>
                <w:rFonts w:ascii="Garamond" w:hAnsi="Garamond"/>
                <w:sz w:val="19"/>
              </w:rPr>
              <w:t xml:space="preserve">Revenue, profit, EBITDA: NSE annual financial filings</w:t>
            </w:r>
          </w:p>
        </w:tc>
        <w:tc>
          <w:tcPr/>
          <w:p>
            <w:pPr>
              <w:pStyle w:val="Compact"/>
              <w:jc w:val="left"/>
            </w:pPr>
            <w:r>
              <w:rPr>
                <w:rFonts w:ascii="Garamond" w:hAnsi="Garamond"/>
                <w:sz w:val="19"/>
              </w:rPr>
              <w:t xml:space="preserve">FY2025-26</w:t>
            </w:r>
          </w:p>
        </w:tc>
      </w:tr>
      <w:tr>
        <w:tc>
          <w:tcPr/>
          <w:p>
            <w:pPr>
              <w:pStyle w:val="Compact"/>
              <w:jc w:val="left"/>
            </w:pPr>
            <w:r>
              <w:rPr>
                <w:rFonts w:ascii="Garamond" w:hAnsi="Garamond"/>
                <w:sz w:val="19"/>
              </w:rPr>
              <w:t xml:space="preserve">Company annual and sustainability reports (gap-fill, land, cement and power output)</w:t>
            </w:r>
          </w:p>
        </w:tc>
        <w:tc>
          <w:tcPr/>
          <w:p>
            <w:pPr>
              <w:pStyle w:val="Compact"/>
              <w:jc w:val="left"/>
            </w:pPr>
            <w:r>
              <w:rPr>
                <w:rFonts w:ascii="Garamond" w:hAnsi="Garamond"/>
                <w:sz w:val="19"/>
              </w:rPr>
              <w:t xml:space="preserve">FY2025-26 (land: latest available; FY2024-25 accepted and labelled)</w:t>
            </w:r>
          </w:p>
        </w:tc>
      </w:tr>
      <w:tr>
        <w:tc>
          <w:tcPr/>
          <w:p>
            <w:pPr>
              <w:pStyle w:val="Compact"/>
              <w:jc w:val="left"/>
            </w:pPr>
            <w:r>
              <w:rPr>
                <w:rFonts w:ascii="Garamond" w:hAnsi="Garamond"/>
                <w:sz w:val="19"/>
              </w:rPr>
              <w:t xml:space="preserve">Market-cap list: AMFI average market capitalisation</w:t>
            </w:r>
          </w:p>
        </w:tc>
        <w:tc>
          <w:tcPr/>
          <w:p>
            <w:pPr>
              <w:pStyle w:val="Compact"/>
              <w:jc w:val="left"/>
            </w:pPr>
            <w:r>
              <w:rPr>
                <w:rFonts w:ascii="Garamond" w:hAnsi="Garamond"/>
                <w:sz w:val="19"/>
              </w:rPr>
              <w:t xml:space="preserve">Jan–Jun 2026</w:t>
            </w:r>
          </w:p>
        </w:tc>
      </w:tr>
      <w:tr>
        <w:tc>
          <w:tcPr/>
          <w:p>
            <w:pPr>
              <w:pStyle w:val="Compact"/>
              <w:jc w:val="left"/>
            </w:pPr>
            <w:r>
              <w:rPr>
                <w:rFonts w:ascii="Garamond" w:hAnsi="Garamond"/>
                <w:sz w:val="19"/>
              </w:rPr>
              <w:t xml:space="preserve">Sectors: NSE Indices industry classification</w:t>
            </w:r>
          </w:p>
        </w:tc>
        <w:tc>
          <w:tcPr/>
          <w:p>
            <w:pPr>
              <w:pStyle w:val="Compact"/>
              <w:jc w:val="left"/>
            </w:pPr>
            <w:r>
              <w:rPr>
                <w:rFonts w:ascii="Garamond" w:hAnsi="Garamond"/>
                <w:sz w:val="19"/>
              </w:rPr>
              <w:t xml:space="preserve">as of 22 Oct 2026</w:t>
            </w:r>
          </w:p>
        </w:tc>
      </w:tr>
    </w:tbl>
    <w:p>
      <w:pPr>
        <w:pStyle w:val="BodyText"/>
      </w:pPr>
      <w:r>
        <w:t xml:space="preserve">All results are produced by one set of scripts from these inputs. Every input file is fingerprinted, so any change can be detected.</w:t>
      </w:r>
    </w:p>
    <w:bookmarkEnd w:id="29"/>
    <w:bookmarkStart w:id="30" w:name="corrections"/>
    <w:p>
      <w:pPr>
        <w:pStyle w:val="Heading2"/>
      </w:pPr>
      <w:r>
        <w:t xml:space="preserve">11. Corrections</w:t>
      </w:r>
    </w:p>
    <w:p>
      <w:pPr>
        <w:pStyle w:val="FirstParagraph"/>
      </w:pPr>
      <w:r>
        <w:t xml:space="preserve">Every value is listed in the dataset and on the website with its source. A company that thinks a value is wrong can send a correction with the page reference in its published report. Corrections are applied only where they match a public document, and every change is logged.</w:t>
      </w:r>
    </w:p>
    <w:p>
      <w:r>
        <w:pict>
          <v:rect style="width:0;height:1.5pt" o:hralign="center" o:hrstd="t" o:hr="t"/>
        </w:pict>
      </w:r>
    </w:p>
    <w:bookmarkEnd w:id="30"/>
    <w:bookmarkStart w:id="31" w:name="X2b2a778eb42a74b3ba5dad481a72b4cc43bf760"/>
    <w:p>
      <w:pPr>
        <w:pStyle w:val="Heading2"/>
      </w:pPr>
      <w:r>
        <w:t xml:space="preserve">Annex A. Illustrative nature cost (not part of the ranking)</w:t>
      </w:r>
    </w:p>
    <w:p>
      <w:pPr>
        <w:pStyle w:val="FirstParagraph"/>
      </w:pPr>
      <w:r>
        <w:rPr>
          <w:bCs/>
          <w:b/>
        </w:rPr>
        <w:t xml:space="preserve">What it is.</w:t>
      </w:r>
      <w:r>
        <w:t xml:space="preserve"> </w:t>
      </w:r>
      <w:r>
        <w:t xml:space="preserve">The annex multiplies each company’s reported quantities by a price per unit of pressure, taken from published research. The result is a rough sense of the cost that the pressure puts on society and nature, shown as a share of revenue and of EBITDA.</w:t>
      </w:r>
    </w:p>
    <w:p>
      <w:pPr>
        <w:pStyle w:val="BodyText"/>
      </w:pPr>
      <w:r>
        <w:rPr>
          <w:bCs/>
          <w:b/>
        </w:rPr>
        <w:t xml:space="preserve">What it is not:</w:t>
      </w:r>
    </w:p>
    <w:p>
      <w:pPr>
        <w:numPr>
          <w:ilvl w:val="0"/>
          <w:numId w:val="1013"/>
        </w:numPr>
        <w:pStyle w:val="Compact"/>
      </w:pPr>
      <w:r>
        <w:t xml:space="preserve">a bill, a liability or a valuation of the company;</w:t>
      </w:r>
    </w:p>
    <w:p>
      <w:pPr>
        <w:numPr>
          <w:ilvl w:val="0"/>
          <w:numId w:val="1013"/>
        </w:numPr>
        <w:pStyle w:val="Compact"/>
      </w:pPr>
      <w:r>
        <w:t xml:space="preserve">a precise figure: read it as sector patterns, not company numbers.</w:t>
      </w:r>
    </w:p>
    <w:p>
      <w:pPr>
        <w:pStyle w:val="FirstParagraph"/>
      </w:pPr>
      <w:r>
        <w:rPr>
          <w:bCs/>
          <w:b/>
        </w:rPr>
        <w:t xml:space="preserve">Do not add companies together.</w:t>
      </w:r>
      <w:r>
        <w:t xml:space="preserve"> </w:t>
      </w:r>
      <w:r>
        <w:t xml:space="preserve">One company’s Scope 2 emissions are another’s Scope 1, so a total would double-count.</w:t>
      </w:r>
    </w:p>
    <w:p>
      <w:pPr>
        <w:pStyle w:val="BodyText"/>
      </w:pPr>
      <w:r>
        <w:rPr>
          <w:bCs/>
          <w:b/>
        </w:rPr>
        <w:t xml:space="preserve">Prices</w:t>
      </w:r>
      <w:r>
        <w:t xml:space="preserve"> </w:t>
      </w:r>
      <w:r>
        <w:t xml:space="preserve">(2025 rupees). Each central value is the middle of 3–5 independent sources.</w:t>
      </w:r>
    </w:p>
    <w:tbl>
      <w:tblPr>
        <w:tblStyle w:val="Table"/>
        <w:tblW w:type="pct" w:w="5000"/>
        <w:tblLook w:firstRow="1" w:lastRow="0" w:firstColumn="0" w:lastColumn="0" w:noHBand="0" w:noVBand="0" w:val="0020"/>
        <w:jc w:val="start"/>
        <w:tblBorders>
          <w:top w:val="single" w:sz="4" w:color="B8C4BC"/>
          <w:bottom w:val="single" w:sz="4" w:color="B8C4BC"/>
          <w:insideH w:val="single" w:sz="4" w:color="B8C4BC"/>
        </w:tblBorders>
      </w:tblPr>
      <w:tblGrid>
        <w:gridCol w:w="2233"/>
        <w:gridCol w:w="1015"/>
        <w:gridCol w:w="1624"/>
        <w:gridCol w:w="3046"/>
      </w:tblGrid>
      <w:tr>
        <w:trPr>
          <w:tblHeader w:val="true"/>
        </w:trPr>
        <w:tc>
          <w:tcPr/>
          <w:p>
            <w:pPr>
              <w:pStyle w:val="Compact"/>
              <w:jc w:val="left"/>
            </w:pPr>
            <w:r>
              <w:rPr>
                <w:rFonts w:ascii="Garamond" w:hAnsi="Garamond"/>
                <w:b/>
                <w:color w:val="1C3F2C"/>
                <w:sz w:val="19"/>
              </w:rPr>
              <w:t xml:space="preserve">Pressure</w:t>
            </w:r>
          </w:p>
        </w:tc>
        <w:tc>
          <w:tcPr/>
          <w:p>
            <w:pPr>
              <w:pStyle w:val="Compact"/>
              <w:jc w:val="right"/>
            </w:pPr>
            <w:r>
              <w:rPr>
                <w:rFonts w:ascii="Garamond" w:hAnsi="Garamond"/>
                <w:b/>
                <w:color w:val="1C3F2C"/>
                <w:sz w:val="19"/>
              </w:rPr>
              <w:t xml:space="preserve">Central</w:t>
            </w:r>
          </w:p>
        </w:tc>
        <w:tc>
          <w:tcPr/>
          <w:p>
            <w:pPr>
              <w:pStyle w:val="Compact"/>
              <w:jc w:val="right"/>
            </w:pPr>
            <w:r>
              <w:rPr>
                <w:rFonts w:ascii="Garamond" w:hAnsi="Garamond"/>
                <w:b/>
                <w:color w:val="1C3F2C"/>
                <w:sz w:val="19"/>
              </w:rPr>
              <w:t xml:space="preserve">Range</w:t>
            </w:r>
          </w:p>
        </w:tc>
        <w:tc>
          <w:tcPr/>
          <w:p>
            <w:pPr>
              <w:pStyle w:val="Compact"/>
              <w:jc w:val="left"/>
            </w:pPr>
            <w:r>
              <w:rPr>
                <w:rFonts w:ascii="Garamond" w:hAnsi="Garamond"/>
                <w:b/>
                <w:color w:val="1C3F2C"/>
                <w:sz w:val="19"/>
              </w:rPr>
              <w:t xml:space="preserve">Main basis</w:t>
            </w:r>
          </w:p>
        </w:tc>
      </w:tr>
      <w:tr>
        <w:tc>
          <w:tcPr/>
          <w:p>
            <w:pPr>
              <w:pStyle w:val="Compact"/>
              <w:jc w:val="left"/>
            </w:pPr>
            <w:r>
              <w:rPr>
                <w:rFonts w:ascii="Garamond" w:hAnsi="Garamond"/>
                <w:sz w:val="19"/>
              </w:rPr>
              <w:t xml:space="preserve">Greenhouse gas, per tonne CO2e</w:t>
            </w:r>
          </w:p>
        </w:tc>
        <w:tc>
          <w:tcPr/>
          <w:p>
            <w:pPr>
              <w:pStyle w:val="Compact"/>
              <w:jc w:val="right"/>
            </w:pPr>
            <w:r>
              <w:rPr>
                <w:rFonts w:ascii="Garamond" w:hAnsi="Garamond"/>
                <w:sz w:val="19"/>
              </w:rPr>
              <w:t xml:space="preserve">₹22,600</w:t>
            </w:r>
          </w:p>
        </w:tc>
        <w:tc>
          <w:tcPr/>
          <w:p>
            <w:pPr>
              <w:pStyle w:val="Compact"/>
              <w:jc w:val="right"/>
            </w:pPr>
            <w:r>
              <w:rPr>
                <w:rFonts w:ascii="Garamond" w:hAnsi="Garamond"/>
                <w:sz w:val="19"/>
              </w:rPr>
              <w:t xml:space="preserve">₹13,900 – ₹38,400</w:t>
            </w:r>
          </w:p>
        </w:tc>
        <w:tc>
          <w:tcPr/>
          <w:p>
            <w:pPr>
              <w:pStyle w:val="Compact"/>
              <w:jc w:val="left"/>
            </w:pPr>
            <w:r>
              <w:rPr>
                <w:rFonts w:ascii="Garamond" w:hAnsi="Garamond"/>
                <w:sz w:val="19"/>
              </w:rPr>
              <w:t xml:space="preserve">US EPA 2023 social cost of carbon; Rennert et al. 2022 (</w:t>
            </w:r>
            <w:r>
              <w:rPr>
                <w:iCs/>
                <w:rFonts w:ascii="Garamond" w:hAnsi="Garamond"/>
                <w:i/>
                <w:sz w:val="19"/>
              </w:rPr>
              <w:t xml:space="preserve">Nature</w:t>
            </w:r>
            <w:r>
              <w:rPr>
                <w:rFonts w:ascii="Garamond" w:hAnsi="Garamond"/>
                <w:sz w:val="19"/>
              </w:rPr>
              <w:t xml:space="preserve">)</w:t>
            </w:r>
          </w:p>
        </w:tc>
      </w:tr>
      <w:tr>
        <w:tc>
          <w:tcPr/>
          <w:p>
            <w:pPr>
              <w:pStyle w:val="Compact"/>
              <w:jc w:val="left"/>
            </w:pPr>
            <w:r>
              <w:rPr>
                <w:rFonts w:ascii="Garamond" w:hAnsi="Garamond"/>
                <w:sz w:val="19"/>
              </w:rPr>
              <w:t xml:space="preserve">SOx, per tonne</w:t>
            </w:r>
          </w:p>
        </w:tc>
        <w:tc>
          <w:tcPr/>
          <w:p>
            <w:pPr>
              <w:pStyle w:val="Compact"/>
              <w:jc w:val="right"/>
            </w:pPr>
            <w:r>
              <w:rPr>
                <w:rFonts w:ascii="Garamond" w:hAnsi="Garamond"/>
                <w:sz w:val="19"/>
              </w:rPr>
              <w:t xml:space="preserve">₹2,09,000</w:t>
            </w:r>
          </w:p>
        </w:tc>
        <w:tc>
          <w:tcPr/>
          <w:p>
            <w:pPr>
              <w:pStyle w:val="Compact"/>
              <w:jc w:val="right"/>
            </w:pPr>
            <w:r>
              <w:rPr>
                <w:rFonts w:ascii="Garamond" w:hAnsi="Garamond"/>
                <w:sz w:val="19"/>
              </w:rPr>
              <w:t xml:space="preserve">₹85,000 – ₹13,69,000</w:t>
            </w:r>
          </w:p>
        </w:tc>
        <w:tc>
          <w:tcPr/>
          <w:p>
            <w:pPr>
              <w:pStyle w:val="Compact"/>
              <w:jc w:val="left"/>
            </w:pPr>
            <w:r>
              <w:rPr>
                <w:rFonts w:ascii="Garamond" w:hAnsi="Garamond"/>
                <w:sz w:val="19"/>
              </w:rPr>
              <w:t xml:space="preserve">Middle of 4 health-damage estimates for India</w:t>
            </w:r>
          </w:p>
        </w:tc>
      </w:tr>
      <w:tr>
        <w:tc>
          <w:tcPr/>
          <w:p>
            <w:pPr>
              <w:pStyle w:val="Compact"/>
              <w:jc w:val="left"/>
            </w:pPr>
            <w:r>
              <w:rPr>
                <w:rFonts w:ascii="Garamond" w:hAnsi="Garamond"/>
                <w:sz w:val="19"/>
              </w:rPr>
              <w:t xml:space="preserve">NOx, per tonne</w:t>
            </w:r>
          </w:p>
        </w:tc>
        <w:tc>
          <w:tcPr/>
          <w:p>
            <w:pPr>
              <w:pStyle w:val="Compact"/>
              <w:jc w:val="right"/>
            </w:pPr>
            <w:r>
              <w:rPr>
                <w:rFonts w:ascii="Garamond" w:hAnsi="Garamond"/>
                <w:sz w:val="19"/>
              </w:rPr>
              <w:t xml:space="preserve">₹2,10,000</w:t>
            </w:r>
          </w:p>
        </w:tc>
        <w:tc>
          <w:tcPr/>
          <w:p>
            <w:pPr>
              <w:pStyle w:val="Compact"/>
              <w:jc w:val="right"/>
            </w:pPr>
            <w:r>
              <w:rPr>
                <w:rFonts w:ascii="Garamond" w:hAnsi="Garamond"/>
                <w:sz w:val="19"/>
              </w:rPr>
              <w:t xml:space="preserve">₹1,11,000 – ₹9,93,000</w:t>
            </w:r>
          </w:p>
        </w:tc>
        <w:tc>
          <w:tcPr/>
          <w:p>
            <w:pPr>
              <w:pStyle w:val="Compact"/>
              <w:jc w:val="left"/>
            </w:pPr>
            <w:r>
              <w:rPr>
                <w:rFonts w:ascii="Garamond" w:hAnsi="Garamond"/>
                <w:sz w:val="19"/>
              </w:rPr>
              <w:t xml:space="preserve">Middle of 3 estimates</w:t>
            </w:r>
          </w:p>
        </w:tc>
      </w:tr>
      <w:tr>
        <w:tc>
          <w:tcPr/>
          <w:p>
            <w:pPr>
              <w:pStyle w:val="Compact"/>
              <w:jc w:val="left"/>
            </w:pPr>
            <w:r>
              <w:rPr>
                <w:rFonts w:ascii="Garamond" w:hAnsi="Garamond"/>
                <w:sz w:val="19"/>
              </w:rPr>
              <w:t xml:space="preserve">Particulate matter, per tonne</w:t>
            </w:r>
          </w:p>
        </w:tc>
        <w:tc>
          <w:tcPr/>
          <w:p>
            <w:pPr>
              <w:pStyle w:val="Compact"/>
              <w:jc w:val="right"/>
            </w:pPr>
            <w:r>
              <w:rPr>
                <w:rFonts w:ascii="Garamond" w:hAnsi="Garamond"/>
                <w:sz w:val="19"/>
              </w:rPr>
              <w:t xml:space="preserve">₹3,06,000</w:t>
            </w:r>
          </w:p>
        </w:tc>
        <w:tc>
          <w:tcPr/>
          <w:p>
            <w:pPr>
              <w:pStyle w:val="Compact"/>
              <w:jc w:val="right"/>
            </w:pPr>
            <w:r>
              <w:rPr>
                <w:rFonts w:ascii="Garamond" w:hAnsi="Garamond"/>
                <w:sz w:val="19"/>
              </w:rPr>
              <w:t xml:space="preserve">₹1,55,000 – ₹9,34,000</w:t>
            </w:r>
          </w:p>
        </w:tc>
        <w:tc>
          <w:tcPr/>
          <w:p>
            <w:pPr>
              <w:pStyle w:val="Compact"/>
              <w:jc w:val="left"/>
            </w:pPr>
            <w:r>
              <w:rPr>
                <w:rFonts w:ascii="Garamond" w:hAnsi="Garamond"/>
                <w:sz w:val="19"/>
              </w:rPr>
              <w:t xml:space="preserve">CE Delft values, adjusted to India</w:t>
            </w:r>
          </w:p>
        </w:tc>
      </w:tr>
      <w:tr>
        <w:tc>
          <w:tcPr/>
          <w:p>
            <w:pPr>
              <w:pStyle w:val="Compact"/>
              <w:jc w:val="left"/>
            </w:pPr>
            <w:r>
              <w:rPr>
                <w:rFonts w:ascii="Garamond" w:hAnsi="Garamond"/>
                <w:sz w:val="19"/>
              </w:rPr>
              <w:t xml:space="preserve">Water consumed, per kilolitre</w:t>
            </w:r>
          </w:p>
        </w:tc>
        <w:tc>
          <w:tcPr/>
          <w:p>
            <w:pPr>
              <w:pStyle w:val="Compact"/>
              <w:jc w:val="right"/>
            </w:pPr>
            <w:r>
              <w:rPr>
                <w:rFonts w:ascii="Garamond" w:hAnsi="Garamond"/>
                <w:sz w:val="19"/>
              </w:rPr>
              <w:t xml:space="preserve">₹40</w:t>
            </w:r>
          </w:p>
        </w:tc>
        <w:tc>
          <w:tcPr/>
          <w:p>
            <w:pPr>
              <w:pStyle w:val="Compact"/>
              <w:jc w:val="right"/>
            </w:pPr>
            <w:r>
              <w:rPr>
                <w:rFonts w:ascii="Garamond" w:hAnsi="Garamond"/>
                <w:sz w:val="19"/>
              </w:rPr>
              <w:t xml:space="preserve">₹10 – ₹200</w:t>
            </w:r>
          </w:p>
        </w:tc>
        <w:tc>
          <w:tcPr/>
          <w:p>
            <w:pPr>
              <w:pStyle w:val="Compact"/>
              <w:jc w:val="left"/>
            </w:pPr>
            <w:r>
              <w:rPr>
                <w:rFonts w:ascii="Garamond" w:hAnsi="Garamond"/>
                <w:sz w:val="19"/>
              </w:rPr>
              <w:t xml:space="preserve">Kumar 2006 (</w:t>
            </w:r>
            <w:r>
              <w:rPr>
                <w:iCs/>
                <w:rFonts w:ascii="Garamond" w:hAnsi="Garamond"/>
                <w:i/>
                <w:sz w:val="19"/>
              </w:rPr>
              <w:t xml:space="preserve">Water Policy</w:t>
            </w:r>
            <w:r>
              <w:rPr>
                <w:rFonts w:ascii="Garamond" w:hAnsi="Garamond"/>
                <w:sz w:val="19"/>
              </w:rPr>
              <w:t xml:space="preserve">); IFVI 2026</w:t>
            </w:r>
          </w:p>
        </w:tc>
      </w:tr>
      <w:tr>
        <w:tc>
          <w:tcPr/>
          <w:p>
            <w:pPr>
              <w:pStyle w:val="Compact"/>
              <w:jc w:val="left"/>
            </w:pPr>
            <w:r>
              <w:rPr>
                <w:rFonts w:ascii="Garamond" w:hAnsi="Garamond"/>
                <w:sz w:val="19"/>
              </w:rPr>
              <w:t xml:space="preserve">Degraded land, per hectare per year</w:t>
            </w:r>
          </w:p>
        </w:tc>
        <w:tc>
          <w:tcPr/>
          <w:p>
            <w:pPr>
              <w:pStyle w:val="Compact"/>
              <w:jc w:val="right"/>
            </w:pPr>
            <w:r>
              <w:rPr>
                <w:rFonts w:ascii="Garamond" w:hAnsi="Garamond"/>
                <w:sz w:val="19"/>
              </w:rPr>
              <w:t xml:space="preserve">₹64,900</w:t>
            </w:r>
          </w:p>
        </w:tc>
        <w:tc>
          <w:tcPr/>
          <w:p>
            <w:pPr>
              <w:pStyle w:val="Compact"/>
              <w:jc w:val="right"/>
            </w:pPr>
            <w:r>
              <w:rPr>
                <w:rFonts w:ascii="Garamond" w:hAnsi="Garamond"/>
                <w:sz w:val="19"/>
              </w:rPr>
              <w:t xml:space="preserve">₹8,200 – ₹1,19,900</w:t>
            </w:r>
          </w:p>
        </w:tc>
        <w:tc>
          <w:tcPr/>
          <w:p>
            <w:pPr>
              <w:pStyle w:val="Compact"/>
              <w:jc w:val="left"/>
            </w:pPr>
            <w:r>
              <w:rPr>
                <w:rFonts w:ascii="Garamond" w:hAnsi="Garamond"/>
                <w:sz w:val="19"/>
              </w:rPr>
              <w:t xml:space="preserve">Ecosystem Services Valuation Database (India); de Groot et al. 2012; Brander et al. 2024</w:t>
            </w:r>
          </w:p>
        </w:tc>
      </w:tr>
      <w:tr>
        <w:tc>
          <w:tcPr/>
          <w:p>
            <w:pPr>
              <w:pStyle w:val="Compact"/>
              <w:jc w:val="left"/>
            </w:pPr>
            <w:r>
              <w:rPr>
                <w:rFonts w:ascii="Garamond" w:hAnsi="Garamond"/>
                <w:sz w:val="19"/>
              </w:rPr>
              <w:t xml:space="preserve">Waste</w:t>
            </w:r>
          </w:p>
        </w:tc>
        <w:tc>
          <w:tcPr/>
          <w:p>
            <w:pPr>
              <w:pStyle w:val="Compact"/>
              <w:jc w:val="right"/>
            </w:pPr>
            <w:r>
              <w:rPr>
                <w:rFonts w:ascii="Garamond" w:hAnsi="Garamond"/>
                <w:sz w:val="19"/>
              </w:rPr>
              <w:t xml:space="preserve">not valued</w:t>
            </w:r>
          </w:p>
        </w:tc>
        <w:tc>
          <w:tcPr/>
          <w:p>
            <w:pPr>
              <w:pStyle w:val="Compact"/>
              <w:jc w:val="right"/>
            </w:pPr>
            <w:r>
              <w:rPr>
                <w:rFonts w:ascii="Garamond" w:hAnsi="Garamond"/>
                <w:sz w:val="19"/>
              </w:rPr>
              <w:t xml:space="preserve">–</w:t>
            </w:r>
          </w:p>
        </w:tc>
        <w:tc>
          <w:tcPr/>
          <w:p>
            <w:pPr>
              <w:pStyle w:val="Compact"/>
              <w:jc w:val="left"/>
            </w:pPr>
            <w:r>
              <w:rPr>
                <w:rFonts w:ascii="Garamond" w:hAnsi="Garamond"/>
                <w:sz w:val="19"/>
              </w:rPr>
              <w:t xml:space="preserve">No reliable India-specific price found</w:t>
            </w:r>
          </w:p>
        </w:tc>
      </w:tr>
    </w:tbl>
    <w:p>
      <w:pPr>
        <w:pStyle w:val="BodyText"/>
      </w:pPr>
      <w:r>
        <w:rPr>
          <w:bCs/>
          <w:b/>
        </w:rPr>
        <w:t xml:space="preserve">How to read it:</w:t>
      </w:r>
    </w:p>
    <w:p>
      <w:pPr>
        <w:numPr>
          <w:ilvl w:val="0"/>
          <w:numId w:val="1014"/>
        </w:numPr>
        <w:pStyle w:val="Compact"/>
      </w:pPr>
      <w:r>
        <w:rPr>
          <w:bCs/>
          <w:b/>
        </w:rPr>
        <w:t xml:space="preserve">Greenhouse gas dominates.</w:t>
      </w:r>
      <w:r>
        <w:t xml:space="preserve"> </w:t>
      </w:r>
      <w:r>
        <w:t xml:space="preserve">It is typically 98% of the total. Its price is the global cost of climate damage, not an India-only figure, so the dataset also shows the share borne in India (about a quarter).</w:t>
      </w:r>
    </w:p>
    <w:p>
      <w:pPr>
        <w:numPr>
          <w:ilvl w:val="0"/>
          <w:numId w:val="1014"/>
        </w:numPr>
        <w:pStyle w:val="Compact"/>
      </w:pPr>
      <w:r>
        <w:rPr>
          <w:bCs/>
          <w:b/>
        </w:rPr>
        <w:t xml:space="preserve">Water</w:t>
      </w:r>
      <w:r>
        <w:t xml:space="preserve"> </w:t>
      </w:r>
      <w:r>
        <w:t xml:space="preserve">is priced on consumption, not withdrawal; withdrawal is used only where consumption is not reported. Land is priced on net degraded hectares (pilot companies only).</w:t>
      </w:r>
    </w:p>
    <w:p>
      <w:pPr>
        <w:numPr>
          <w:ilvl w:val="0"/>
          <w:numId w:val="1014"/>
        </w:numPr>
        <w:pStyle w:val="Compact"/>
      </w:pPr>
      <w:r>
        <w:rPr>
          <w:bCs/>
          <w:b/>
        </w:rPr>
        <w:t xml:space="preserve">Completeness.</w:t>
      </w:r>
      <w:r>
        <w:t xml:space="preserve"> </w:t>
      </w:r>
      <w:r>
        <w:t xml:space="preserve">A total is shown only where greenhouse gas is included, so the totals can be compared.</w:t>
      </w:r>
    </w:p>
    <w:p>
      <w:pPr>
        <w:pStyle w:val="FirstParagraph"/>
      </w:pPr>
      <w:r>
        <w:rPr>
          <w:bCs/>
          <w:b/>
        </w:rPr>
        <w:t xml:space="preserve">Sector medians, as % of revenue:</w:t>
      </w:r>
    </w:p>
    <w:p>
      <w:pPr>
        <w:numPr>
          <w:ilvl w:val="0"/>
          <w:numId w:val="1015"/>
        </w:numPr>
        <w:pStyle w:val="Compact"/>
      </w:pPr>
      <w:r>
        <w:t xml:space="preserve">cement ≈ 230%;</w:t>
      </w:r>
    </w:p>
    <w:p>
      <w:pPr>
        <w:numPr>
          <w:ilvl w:val="0"/>
          <w:numId w:val="1015"/>
        </w:numPr>
        <w:pStyle w:val="Compact"/>
      </w:pPr>
      <w:r>
        <w:t xml:space="preserve">power ≈ 120%;</w:t>
      </w:r>
    </w:p>
    <w:p>
      <w:pPr>
        <w:numPr>
          <w:ilvl w:val="0"/>
          <w:numId w:val="1015"/>
        </w:numPr>
        <w:pStyle w:val="Compact"/>
      </w:pPr>
      <w:r>
        <w:t xml:space="preserve">metals and mining ≈ 54%;</w:t>
      </w:r>
    </w:p>
    <w:p>
      <w:pPr>
        <w:numPr>
          <w:ilvl w:val="0"/>
          <w:numId w:val="1015"/>
        </w:numPr>
        <w:pStyle w:val="Compact"/>
      </w:pPr>
      <w:r>
        <w:t xml:space="preserve">textiles ≈ 21%;</w:t>
      </w:r>
    </w:p>
    <w:p>
      <w:pPr>
        <w:numPr>
          <w:ilvl w:val="0"/>
          <w:numId w:val="1015"/>
        </w:numPr>
        <w:pStyle w:val="Compact"/>
      </w:pPr>
      <w:r>
        <w:t xml:space="preserve">chemicals ≈ 17%;</w:t>
      </w:r>
    </w:p>
    <w:p>
      <w:pPr>
        <w:numPr>
          <w:ilvl w:val="0"/>
          <w:numId w:val="1015"/>
        </w:numPr>
        <w:pStyle w:val="Compact"/>
      </w:pPr>
      <w:r>
        <w:t xml:space="preserve">oil and gas ≈ 6%;</w:t>
      </w:r>
    </w:p>
    <w:p>
      <w:pPr>
        <w:numPr>
          <w:ilvl w:val="0"/>
          <w:numId w:val="1015"/>
        </w:numPr>
        <w:pStyle w:val="Compact"/>
      </w:pPr>
      <w:r>
        <w:t xml:space="preserve">most other manufacturing and services 1–5%;</w:t>
      </w:r>
    </w:p>
    <w:p>
      <w:pPr>
        <w:numPr>
          <w:ilvl w:val="0"/>
          <w:numId w:val="1015"/>
        </w:numPr>
        <w:pStyle w:val="Compact"/>
      </w:pPr>
      <w:r>
        <w:t xml:space="preserve">IT and financial services below 0.5%.</w:t>
      </w:r>
    </w:p>
    <w:p>
      <w:pPr>
        <w:pStyle w:val="FirstParagraph"/>
      </w:pPr>
      <w:r>
        <w:t xml:space="preserve">A figure above 100% means that, at these prices, the unpriced cost to society is larger than the company’s sales. This is a known result for carbon-heavy sectors, not an error. Sector medians are shown only where at least 5 companies are costed.</w:t>
      </w:r>
    </w:p>
    <w:bookmarkEnd w:id="31"/>
    <w:bookmarkEnd w:id="32"/>
    <w:sect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cs="Garamond" w:eastAsia="Garamond"/>
      <w:color w:val="111111"/>
      <w:sz w:val="22"/>
    </w:rPr>
  </w:style>
  <w:style w:styleId="BodyText" w:type="paragraph">
    <w:name w:val="Body Text"/>
    <w:basedOn w:val="Normal"/>
    <w:link w:val="BodyTextChar"/>
    <w:pPr>
      <w:spacing w:after="180" w:before="180"/>
      <w:jc w:val="both"/>
    </w:pPr>
    <w:qFormat/>
    <w:rPr>
      <w:rFonts w:ascii="Garamond" w:hAnsi="Garamond" w:cs="Garamond" w:eastAsia="Garamond"/>
      <w:color w:val="111111"/>
      <w:sz w:val="22"/>
    </w:rPr>
  </w:style>
  <w:style w:customStyle="1" w:styleId="FirstParagraph" w:type="paragraph">
    <w:name w:val="First Paragraph"/>
    <w:basedOn w:val="BodyText"/>
    <w:next w:val="BodyText"/>
    <w:qFormat/>
    <w:pPr>
      <w:jc w:val="both"/>
    </w:pPr>
    <w:rPr>
      <w:rFonts w:ascii="Garamond" w:hAnsi="Garamond" w:cs="Garamond" w:eastAsia="Garamond"/>
      <w:color w:val="111111"/>
      <w:sz w:val="22"/>
    </w:rPr>
  </w:style>
  <w:style w:customStyle="1" w:styleId="Compact" w:type="paragraph">
    <w:name w:val="Compact"/>
    <w:basedOn w:val="BodyText"/>
    <w:qFormat/>
    <w:pPr>
      <w:spacing w:after="36" w:before="36"/>
    </w:pPr>
    <w:rPr>
      <w:rFonts w:ascii="Garamond" w:hAnsi="Garamond" w:cs="Garamond" w:eastAsia="Garamond"/>
      <w:color w:val="111111"/>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aramond" w:hAnsi="Garamond" w:cs="Garamond" w:eastAsia="Garamond"/>
      <w:b/>
      <w:bCs/>
      <w:color w:val="1C3F2C"/>
      <w:sz w:val="32"/>
      <w:szCs w:val="32"/>
    </w:rPr>
  </w:style>
  <w:style w:styleId="Heading2" w:type="paragraph">
    <w:name w:val="Heading 2"/>
    <w:basedOn w:val="Normal"/>
    <w:next w:val="BodyText"/>
    <w:uiPriority w:val="9"/>
    <w:unhideWhenUsed/>
    <w:qFormat/>
    <w:pPr>
      <w:keepNext/>
      <w:keepLines/>
      <w:spacing w:after="0" w:before="200"/>
      <w:outlineLvl w:val="1"/>
    </w:pPr>
    <w:rPr>
      <w:rFonts w:ascii="Garamond" w:hAnsi="Garamond" w:cs="Garamond" w:eastAsia="Garamond"/>
      <w:b/>
      <w:bCs/>
      <w:color w:val="1C3F2C"/>
      <w:sz w:val="25"/>
      <w:szCs w:val="28"/>
    </w:rPr>
  </w:style>
  <w:style w:styleId="Heading3" w:type="paragraph">
    <w:name w:val="Heading 3"/>
    <w:basedOn w:val="Normal"/>
    <w:next w:val="BodyText"/>
    <w:uiPriority w:val="9"/>
    <w:unhideWhenUsed/>
    <w:qFormat/>
    <w:pPr>
      <w:keepNext/>
      <w:keepLines/>
      <w:spacing w:after="0" w:before="200"/>
      <w:outlineLvl w:val="2"/>
    </w:pPr>
    <w:rPr>
      <w:rFonts w:ascii="Garamond" w:hAnsi="Garamond" w:cs="Garamond" w:eastAsia="Garamond"/>
      <w:b/>
      <w:bCs/>
      <w:color w:val="1C3F2C"/>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aramond" w:hAnsi="Garamond" w:cs="Garamond" w:eastAsia="Garamond"/>
      <w:color w:val="111111"/>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2026-10-27T15:14:33Z</dcterms:created>
  <dcterms:modified xsi:type="dcterms:W3CDTF">2026-10-27T15:14:33Z</dcterms:modified>
</cp:coreProperties>
</file>

<file path=docProps/custom.xml><?xml version="1.0" encoding="utf-8"?>
<Properties xmlns="http://schemas.openxmlformats.org/officeDocument/2006/custom-properties" xmlns:vt="http://schemas.openxmlformats.org/officeDocument/2006/docPropsVTypes"/>
</file>