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200"/>
        <w:jc w:val="center"/>
      </w:pPr>
      <w:r>
        <w:rPr>
          <w:rFonts w:ascii="Calibri" w:cs="Calibri" w:eastAsia="Calibri" w:hAnsi="Calibri"/>
          <w:b/>
          <w:bCs/>
          <w:color w:val="595959"/>
          <w:sz w:val="22"/>
          <w:szCs w:val="22"/>
        </w:rPr>
        <w:t xml:space="preserve">ENTERPRISE MACHINE LEARNING SOLUTION DOCUMENT</w:t>
      </w:r>
    </w:p>
    <w:p>
      <w:pPr>
        <w:spacing w:after="300"/>
        <w:jc w:val="center"/>
      </w:pPr>
      <w:r>
        <w:rPr>
          <w:rFonts w:ascii="Calibri" w:cs="Calibri" w:eastAsia="Calibri" w:hAnsi="Calibri"/>
          <w:b/>
          <w:bCs/>
          <w:color w:val="1F3864"/>
          <w:sz w:val="44"/>
          <w:szCs w:val="44"/>
        </w:rPr>
        <w:t xml:space="preserve">Industrial Equipment Failure &amp; Maintenance Profiler</w:t>
      </w:r>
    </w:p>
    <w:p>
      <w:pPr>
        <w:spacing w:after="600"/>
        <w:jc w:val="center"/>
      </w:pPr>
      <w:r>
        <w:rPr>
          <w:rFonts w:ascii="Calibri" w:cs="Calibri" w:eastAsia="Calibri" w:hAnsi="Calibri"/>
          <w:i/>
          <w:iCs/>
          <w:color w:val="2E5395"/>
          <w:sz w:val="24"/>
          <w:szCs w:val="24"/>
        </w:rPr>
        <w:t xml:space="preserve">Predictive Maintenance &amp; Failure Classification for Smart Manufacturing</w:t>
      </w:r>
    </w:p>
    <w:p>
      <w:pPr>
        <w:spacing w:after="6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Attribute</w:t>
            </w:r>
          </w:p>
        </w:tc>
        <w:tc>
          <w:tcPr>
            <w:tcW w:type="dxa" w:w="6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Project Name</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Industrial Equipment Failure &amp; Maintenance Profiler</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Industry Vertical</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Smart Manufacturing &amp; Industry 4.0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Dataset</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AI4I 2020 Predictive Maintenance Dataset (UCI Machine Learning Repository)</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Document Type</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Project Charter, Technical Design &amp; Solution Architecture</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Classification</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Internal / Enterprise Evaluation</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Version</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Status</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Final Draft — For Review</w:t>
            </w:r>
          </w:p>
        </w:tc>
      </w:tr>
    </w:tbl>
    <w:p>
      <w:pPr>
        <w:spacing w:after="1000"/>
      </w:pPr>
    </w:p>
    <w:p>
      <w:pPr>
        <w:jc w:val="center"/>
      </w:pPr>
      <w:r>
        <w:rPr>
          <w:rFonts w:ascii="Calibri" w:cs="Calibri" w:eastAsia="Calibri" w:hAnsi="Calibri"/>
          <w:i/>
          <w:iCs/>
          <w:color w:val="595959"/>
          <w:sz w:val="18"/>
          <w:szCs w:val="18"/>
        </w:rPr>
        <w:t xml:space="preserve">Prepared in alignment with IBM enterprise AI/ML project documentation standards</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1. Executive Summary &amp; Project Charter</w:t>
      </w:r>
    </w:p>
    <w:p>
      <w:pPr>
        <w:pStyle w:val="Heading2"/>
        <w:spacing w:after="150" w:before="300"/>
      </w:pPr>
      <w:r>
        <w:rPr>
          <w:rFonts w:ascii="Calibri" w:cs="Calibri" w:eastAsia="Calibri" w:hAnsi="Calibri"/>
          <w:b/>
          <w:bCs/>
          <w:color w:val="2E5395"/>
          <w:sz w:val="25"/>
          <w:szCs w:val="25"/>
        </w:rPr>
        <w:t xml:space="preserve">1.1 Project Charter</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Field</w:t>
            </w:r>
          </w:p>
        </w:tc>
        <w:tc>
          <w:tcPr>
            <w:tcW w:type="dxa" w:w="6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Detail</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Project Name</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Industrial Equipment Failure &amp; Maintenance Profiler</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Industry Vertical</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Smart Manufacturing &amp; Industry 4.0</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Sponsor Function</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Plant Operations, Reliability Engineering &amp; Digital Transformation Office</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Primary Dataset</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AI4I 2020 Predictive Maintenance Dataset (10,000 records, 14 attributes)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Delivery Model</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Batch analytics with roadmap to real-time streaming inference</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Target Users</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Maintenance Engineers, Plant Reliability Teams, Operations Managers</w:t>
            </w:r>
          </w:p>
        </w:tc>
      </w:tr>
    </w:tbl>
    <w:p>
      <w:pPr>
        <w:spacing w:after="120"/>
      </w:pPr>
    </w:p>
    <w:p>
      <w:pPr>
        <w:pStyle w:val="Heading2"/>
        <w:spacing w:after="150" w:before="300"/>
      </w:pPr>
      <w:r>
        <w:rPr>
          <w:rFonts w:ascii="Calibri" w:cs="Calibri" w:eastAsia="Calibri" w:hAnsi="Calibri"/>
          <w:b/>
          <w:bCs/>
          <w:color w:val="2E5395"/>
          <w:sz w:val="25"/>
          <w:szCs w:val="25"/>
        </w:rPr>
        <w:t xml:space="preserve">1.2 Executive Summary</w:t>
      </w:r>
    </w:p>
    <w:p>
      <w:pPr>
        <w:spacing w:after="160" w:line="276"/>
        <w:jc w:val="both"/>
      </w:pPr>
      <w:r>
        <w:rPr>
          <w:rFonts w:ascii="Calibri" w:cs="Calibri" w:eastAsia="Calibri" w:hAnsi="Calibri"/>
          <w:sz w:val="21"/>
          <w:szCs w:val="21"/>
        </w:rPr>
        <w:t xml:space="preserve">Unplanned equipment failure remains one of the most significant drags on manufacturing productivity in discrete and process industries. Every unplanned stoppage propagates through the value stream: production schedules slip, downstream work-in-progress stalls, quality escapes increase as machines are pushed outside calibrated operating envelopes, and emergency repair costs run substantially higher than planned maintenance. Overall Equipment Effectiveness (OEE) — the composite measure of Availability, Performance, and Quality — is directly and disproportionately eroded by unplanned downtime, since a single unscheduled stoppage depresses all three OEE components simultaneously.</w:t>
      </w:r>
    </w:p>
    <w:p>
      <w:pPr>
        <w:spacing w:after="160" w:line="276"/>
        <w:jc w:val="both"/>
      </w:pPr>
      <w:r>
        <w:rPr>
          <w:rFonts w:ascii="Calibri" w:cs="Calibri" w:eastAsia="Calibri" w:hAnsi="Calibri"/>
          <w:sz w:val="21"/>
          <w:szCs w:val="21"/>
        </w:rPr>
        <w:t xml:space="preserve">The Industrial Equipment Failure &amp; Maintenance Profiler is an enterprise machine learning solution designed to shift maintenance strategy from reactive and time-based preventive models toward a data-driven predictive posture. Using the AI4I 2020 Predictive Maintenance Dataset — a synthetically generated but industrially representative dataset modeling a milling machine process — the solution ingests real-time sensor telemetry (temperature, rotational speed, torque, and tool wear) and produces both a binary failure risk score and a multi-label diagnosis across five distinct failure modes. This dual-output design allows the solution to answer not only "will this machine fail?" but also "why is it likely to fail?", enabling maintenance teams to dispatch the correct intervention rather than a generic inspection order.</w:t>
      </w:r>
    </w:p>
    <w:p>
      <w:pPr>
        <w:spacing w:after="160" w:line="276"/>
        <w:jc w:val="both"/>
      </w:pPr>
      <w:r>
        <w:rPr>
          <w:rFonts w:ascii="Calibri" w:cs="Calibri" w:eastAsia="Calibri" w:hAnsi="Calibri"/>
          <w:sz w:val="21"/>
          <w:szCs w:val="21"/>
        </w:rPr>
        <w:t xml:space="preserve">This document presents the full solution lifecycle: business problem framing, dataset architecture, exploratory analysis, feature engineering, model selection and evaluation methodology, deployment architecture, and the business case, structured to align with IBM's enterprise AI/ML project documentation conventions for stakeholder review and technical governance sign-off.</w:t>
      </w:r>
    </w:p>
    <w:p>
      <w:pPr>
        <w:pStyle w:val="Heading2"/>
        <w:spacing w:after="150" w:before="300"/>
      </w:pPr>
      <w:r>
        <w:rPr>
          <w:rFonts w:ascii="Calibri" w:cs="Calibri" w:eastAsia="Calibri" w:hAnsi="Calibri"/>
          <w:b/>
          <w:bCs/>
          <w:color w:val="2E5395"/>
          <w:sz w:val="25"/>
          <w:szCs w:val="25"/>
        </w:rPr>
        <w:t xml:space="preserve">1.3 Project Objectives</w:t>
      </w:r>
    </w:p>
    <w:p>
      <w:pPr>
        <w:pStyle w:val="Heading3"/>
        <w:spacing w:after="100" w:before="200"/>
      </w:pPr>
      <w:r>
        <w:rPr>
          <w:rFonts w:ascii="Calibri" w:cs="Calibri" w:eastAsia="Calibri" w:hAnsi="Calibri"/>
          <w:b/>
          <w:bCs/>
          <w:color w:val="595959"/>
          <w:sz w:val="22"/>
          <w:szCs w:val="22"/>
        </w:rPr>
        <w:t xml:space="preserve">Business Objectives</w:t>
      </w:r>
    </w:p>
    <w:p>
      <w:pPr>
        <w:pStyle w:val="ListParagraph"/>
        <w:numPr>
          <w:ilvl w:val="0"/>
          <w:numId w:val="2"/>
        </w:numPr>
        <w:spacing w:after="90"/>
      </w:pPr>
      <w:r>
        <w:rPr>
          <w:rFonts w:ascii="Calibri" w:cs="Calibri" w:eastAsia="Calibri" w:hAnsi="Calibri"/>
          <w:b/>
          <w:bCs/>
          <w:sz w:val="21"/>
          <w:szCs w:val="21"/>
        </w:rPr>
        <w:t xml:space="preserve">Reduce unplanned downtime </w:t>
      </w:r>
      <w:r>
        <w:rPr>
          <w:rFonts w:ascii="Calibri" w:cs="Calibri" w:eastAsia="Calibri" w:hAnsi="Calibri"/>
          <w:sz w:val="21"/>
          <w:szCs w:val="21"/>
        </w:rPr>
        <w:t xml:space="preserve">by shifting a measurable share of failure events from reactive to predictive detection windows.</w:t>
      </w:r>
    </w:p>
    <w:p>
      <w:pPr>
        <w:pStyle w:val="ListParagraph"/>
        <w:numPr>
          <w:ilvl w:val="0"/>
          <w:numId w:val="2"/>
        </w:numPr>
        <w:spacing w:after="90"/>
      </w:pPr>
      <w:r>
        <w:rPr>
          <w:rFonts w:ascii="Calibri" w:cs="Calibri" w:eastAsia="Calibri" w:hAnsi="Calibri"/>
          <w:b/>
          <w:bCs/>
          <w:sz w:val="21"/>
          <w:szCs w:val="21"/>
        </w:rPr>
        <w:t xml:space="preserve">Reduce false positive maintenance alerts </w:t>
      </w:r>
      <w:r>
        <w:rPr>
          <w:rFonts w:ascii="Calibri" w:cs="Calibri" w:eastAsia="Calibri" w:hAnsi="Calibri"/>
          <w:sz w:val="21"/>
          <w:szCs w:val="21"/>
        </w:rPr>
        <w:t xml:space="preserve">that drive unnecessary inspections, unplanned labor cost, and alert fatigue among reliability engineers.</w:t>
      </w:r>
    </w:p>
    <w:p>
      <w:pPr>
        <w:pStyle w:val="ListParagraph"/>
        <w:numPr>
          <w:ilvl w:val="0"/>
          <w:numId w:val="2"/>
        </w:numPr>
        <w:spacing w:after="90"/>
      </w:pPr>
      <w:r>
        <w:rPr>
          <w:rFonts w:ascii="Calibri" w:cs="Calibri" w:eastAsia="Calibri" w:hAnsi="Calibri"/>
          <w:b/>
          <w:bCs/>
          <w:sz w:val="21"/>
          <w:szCs w:val="21"/>
        </w:rPr>
        <w:t xml:space="preserve">Optimize tool and component lifespan </w:t>
      </w:r>
      <w:r>
        <w:rPr>
          <w:rFonts w:ascii="Calibri" w:cs="Calibri" w:eastAsia="Calibri" w:hAnsi="Calibri"/>
          <w:sz w:val="21"/>
          <w:szCs w:val="21"/>
        </w:rPr>
        <w:t xml:space="preserve">by correlating tool wear accumulation with failure onset rather than relying on fixed replacement intervals.</w:t>
      </w:r>
    </w:p>
    <w:p>
      <w:pPr>
        <w:pStyle w:val="ListParagraph"/>
        <w:numPr>
          <w:ilvl w:val="0"/>
          <w:numId w:val="2"/>
        </w:numPr>
        <w:spacing w:after="90"/>
      </w:pPr>
      <w:r>
        <w:rPr>
          <w:rFonts w:ascii="Calibri" w:cs="Calibri" w:eastAsia="Calibri" w:hAnsi="Calibri"/>
          <w:b/>
          <w:bCs/>
          <w:sz w:val="21"/>
          <w:szCs w:val="21"/>
        </w:rPr>
        <w:t xml:space="preserve">Improve OEE</w:t>
      </w:r>
      <w:r>
        <w:rPr>
          <w:rFonts w:ascii="Calibri" w:cs="Calibri" w:eastAsia="Calibri" w:hAnsi="Calibri"/>
          <w:sz w:val="21"/>
          <w:szCs w:val="21"/>
        </w:rPr>
        <w:t xml:space="preserve">, specifically the Availability component, by narrowing the gap between failure onset and intervention.</w:t>
      </w:r>
    </w:p>
    <w:p>
      <w:pPr>
        <w:pStyle w:val="ListParagraph"/>
        <w:numPr>
          <w:ilvl w:val="0"/>
          <w:numId w:val="2"/>
        </w:numPr>
        <w:spacing w:after="90"/>
      </w:pPr>
      <w:r>
        <w:rPr>
          <w:rFonts w:ascii="Calibri" w:cs="Calibri" w:eastAsia="Calibri" w:hAnsi="Calibri"/>
          <w:b/>
          <w:bCs/>
          <w:sz w:val="21"/>
          <w:szCs w:val="21"/>
        </w:rPr>
        <w:t xml:space="preserve">Establish a governed, auditable ML pipeline </w:t>
      </w:r>
      <w:r>
        <w:rPr>
          <w:rFonts w:ascii="Calibri" w:cs="Calibri" w:eastAsia="Calibri" w:hAnsi="Calibri"/>
          <w:sz w:val="21"/>
          <w:szCs w:val="21"/>
        </w:rPr>
        <w:t xml:space="preserve">that reliability and quality teams can trust for safety-adjacent decisions.</w:t>
      </w:r>
    </w:p>
    <w:p>
      <w:pPr>
        <w:pStyle w:val="Heading3"/>
        <w:spacing w:after="100" w:before="200"/>
      </w:pPr>
      <w:r>
        <w:rPr>
          <w:rFonts w:ascii="Calibri" w:cs="Calibri" w:eastAsia="Calibri" w:hAnsi="Calibri"/>
          <w:b/>
          <w:bCs/>
          <w:color w:val="595959"/>
          <w:sz w:val="22"/>
          <w:szCs w:val="22"/>
        </w:rPr>
        <w:t xml:space="preserve">Technical Objectives</w:t>
      </w:r>
    </w:p>
    <w:p>
      <w:pPr>
        <w:pStyle w:val="ListParagraph"/>
        <w:numPr>
          <w:ilvl w:val="0"/>
          <w:numId w:val="2"/>
        </w:numPr>
        <w:spacing w:after="90"/>
      </w:pPr>
      <w:r>
        <w:rPr>
          <w:rFonts w:ascii="Calibri" w:cs="Calibri" w:eastAsia="Calibri" w:hAnsi="Calibri"/>
          <w:b/>
          <w:bCs/>
          <w:sz w:val="21"/>
          <w:szCs w:val="21"/>
        </w:rPr>
        <w:t xml:space="preserve">Binary classification </w:t>
      </w:r>
      <w:r>
        <w:rPr>
          <w:rFonts w:ascii="Calibri" w:cs="Calibri" w:eastAsia="Calibri" w:hAnsi="Calibri"/>
          <w:sz w:val="21"/>
          <w:szCs w:val="21"/>
        </w:rPr>
        <w:t xml:space="preserve">of overall machine failure (Machine failure = 0/1) with high recall on the failure class.</w:t>
      </w:r>
    </w:p>
    <w:p>
      <w:pPr>
        <w:pStyle w:val="ListParagraph"/>
        <w:numPr>
          <w:ilvl w:val="0"/>
          <w:numId w:val="2"/>
        </w:numPr>
        <w:spacing w:after="90"/>
      </w:pPr>
      <w:r>
        <w:rPr>
          <w:rFonts w:ascii="Calibri" w:cs="Calibri" w:eastAsia="Calibri" w:hAnsi="Calibri"/>
          <w:b/>
          <w:bCs/>
          <w:sz w:val="21"/>
          <w:szCs w:val="21"/>
        </w:rPr>
        <w:t xml:space="preserve">Multi-label failure-mode classification </w:t>
      </w:r>
      <w:r>
        <w:rPr>
          <w:rFonts w:ascii="Calibri" w:cs="Calibri" w:eastAsia="Calibri" w:hAnsi="Calibri"/>
          <w:sz w:val="21"/>
          <w:szCs w:val="21"/>
        </w:rPr>
        <w:t xml:space="preserve">across TWF, HDF, PWF, OSF, and RNF to support root-cause-aware maintenance dispatch.</w:t>
      </w:r>
    </w:p>
    <w:p>
      <w:pPr>
        <w:pStyle w:val="ListParagraph"/>
        <w:numPr>
          <w:ilvl w:val="0"/>
          <w:numId w:val="2"/>
        </w:numPr>
        <w:spacing w:after="90"/>
      </w:pPr>
      <w:r>
        <w:rPr>
          <w:rFonts w:ascii="Calibri" w:cs="Calibri" w:eastAsia="Calibri" w:hAnsi="Calibri"/>
          <w:b/>
          <w:bCs/>
          <w:sz w:val="21"/>
          <w:szCs w:val="21"/>
        </w:rPr>
        <w:t xml:space="preserve">Class-imbalance-aware modeling </w:t>
      </w:r>
      <w:r>
        <w:rPr>
          <w:rFonts w:ascii="Calibri" w:cs="Calibri" w:eastAsia="Calibri" w:hAnsi="Calibri"/>
          <w:sz w:val="21"/>
          <w:szCs w:val="21"/>
        </w:rPr>
        <w:t xml:space="preserve">given the low base rate of failure events characteristic of reliability data.</w:t>
      </w:r>
    </w:p>
    <w:p>
      <w:pPr>
        <w:pStyle w:val="ListParagraph"/>
        <w:numPr>
          <w:ilvl w:val="0"/>
          <w:numId w:val="2"/>
        </w:numPr>
        <w:spacing w:after="90"/>
      </w:pPr>
      <w:r>
        <w:rPr>
          <w:rFonts w:ascii="Calibri" w:cs="Calibri" w:eastAsia="Calibri" w:hAnsi="Calibri"/>
          <w:b/>
          <w:bCs/>
          <w:sz w:val="21"/>
          <w:szCs w:val="21"/>
        </w:rPr>
        <w:t xml:space="preserve">Production-grade deployment </w:t>
      </w:r>
      <w:r>
        <w:rPr>
          <w:rFonts w:ascii="Calibri" w:cs="Calibri" w:eastAsia="Calibri" w:hAnsi="Calibri"/>
          <w:sz w:val="21"/>
          <w:szCs w:val="21"/>
        </w:rPr>
        <w:t xml:space="preserve">as a containerized inference service with a monitoring and alerting layer.</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2. Problem Statement &amp; Business Context</w:t>
      </w:r>
    </w:p>
    <w:p>
      <w:pPr>
        <w:pStyle w:val="Heading2"/>
        <w:spacing w:after="150" w:before="300"/>
      </w:pPr>
      <w:r>
        <w:rPr>
          <w:rFonts w:ascii="Calibri" w:cs="Calibri" w:eastAsia="Calibri" w:hAnsi="Calibri"/>
          <w:b/>
          <w:bCs/>
          <w:color w:val="2E5395"/>
          <w:sz w:val="25"/>
          <w:szCs w:val="25"/>
        </w:rPr>
        <w:t xml:space="preserve">2.1 Problem Formulation</w:t>
      </w:r>
    </w:p>
    <w:p>
      <w:pPr>
        <w:spacing w:after="160" w:line="276"/>
        <w:jc w:val="both"/>
      </w:pPr>
      <w:r>
        <w:rPr>
          <w:rFonts w:ascii="Calibri" w:cs="Calibri" w:eastAsia="Calibri" w:hAnsi="Calibri"/>
          <w:sz w:val="21"/>
          <w:szCs w:val="21"/>
        </w:rPr>
        <w:t xml:space="preserve">Industrial maintenance strategies fall along a maturity spectrum, and the cost profile of each approach differs substantially. Reactive maintenance ("run to failure") incurs the highest per-incident cost because repairs are unplanned, often require expedited parts procurement, and are frequently compounded by secondary damage to adjacent components. Preventive maintenance, performed on fixed time or usage intervals, reduces catastrophic failure risk but is inherently inefficient — components are frequently serviced or replaced well before the end of their useful life, and interval-based schedules do not account for the actual operating stress a given machine has experienced. Predictive maintenance closes this gap by using condition-monitoring data to estimate remaining useful life and failure probability, triggering intervention only when warranted by the equipment's actual state.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2500"/>
        <w:gridCol w:w="2400"/>
      </w:tblGrid>
      <w:tr>
        <w:trPr>
          <w:tblHeader/>
        </w:trPr>
        <w:tc>
          <w:tcPr>
            <w:tcW w:type="dxa" w:w="2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Maintenance Strategy</w:t>
            </w:r>
          </w:p>
        </w:tc>
        <w:tc>
          <w:tcPr>
            <w:tcW w:type="dxa" w:w="21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Trigger Mechanism</w:t>
            </w:r>
          </w:p>
        </w:tc>
        <w:tc>
          <w:tcPr>
            <w:tcW w:type="dxa" w:w="2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Relative Cost Profile</w:t>
            </w:r>
          </w:p>
        </w:tc>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Key Limitation</w:t>
            </w:r>
          </w:p>
        </w:tc>
      </w:tr>
      <w:tr>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Reactive (Run-to-Failure)</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Equipment stoppage / breakdown</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Highest — emergency labor, expedited parts, secondary damage, lost production</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 warning window; safety and quality risk</w:t>
            </w:r>
          </w:p>
        </w:tc>
      </w:tr>
      <w:tr>
        <w:tc>
          <w:tcPr>
            <w:tcW w:type="dxa" w:w="2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Preventive (Time-Based)</w:t>
            </w:r>
          </w:p>
        </w:tc>
        <w:tc>
          <w:tcPr>
            <w:tcW w:type="dxa" w:w="21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Fixed calendar or usage interval</w:t>
            </w:r>
          </w:p>
        </w:tc>
        <w:tc>
          <w:tcPr>
            <w:tcW w:type="dxa" w:w="2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Moderate-High — over-servicing of healthy assets</w:t>
            </w:r>
          </w:p>
        </w:tc>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Ignores actual equipment condition</w:t>
            </w:r>
          </w:p>
        </w:tc>
      </w:tr>
      <w:tr>
        <w:tc>
          <w:tcPr>
            <w:tcW w:type="dxa" w:w="2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Predictive (Condition-Based)</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ML-estimated failure probability / RUL</w:t>
            </w:r>
          </w:p>
        </w:tc>
        <w:tc>
          <w:tcPr>
            <w:tcW w:type="dxa" w:w="2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Lowest sustained cost — intervention aligned to actual risk</w:t>
            </w:r>
          </w:p>
        </w:tc>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Requires reliable sensor data and model governance</w:t>
            </w:r>
          </w:p>
        </w:tc>
      </w:tr>
    </w:tbl>
    <w:p>
      <w:pPr>
        <w:spacing w:after="120"/>
      </w:pPr>
    </w:p>
    <w:p>
      <w:pPr>
        <w:spacing w:after="160" w:line="276"/>
        <w:jc w:val="both"/>
      </w:pPr>
      <w:r>
        <w:rPr>
          <w:rFonts w:ascii="Calibri" w:cs="Calibri" w:eastAsia="Calibri" w:hAnsi="Calibri"/>
          <w:sz w:val="21"/>
          <w:szCs w:val="21"/>
        </w:rPr>
        <w:t xml:space="preserve">The core business problem this project addresses is therefore twofold: first, detecting the small minority of operating cycles that precede a failure event with sufficient lead time and precision to act; and second, distinguishing between failure modes so the dispatched maintenance action matches the actual root cause rather than defaulting to a full inspection.</w:t>
      </w:r>
    </w:p>
    <w:p>
      <w:pPr>
        <w:pStyle w:val="Heading2"/>
        <w:spacing w:after="150" w:before="300"/>
      </w:pPr>
      <w:r>
        <w:rPr>
          <w:rFonts w:ascii="Calibri" w:cs="Calibri" w:eastAsia="Calibri" w:hAnsi="Calibri"/>
          <w:b/>
          <w:bCs/>
          <w:color w:val="2E5395"/>
          <w:sz w:val="25"/>
          <w:szCs w:val="25"/>
        </w:rPr>
        <w:t xml:space="preserve">2.2 Failure Types Addressed</w:t>
      </w:r>
    </w:p>
    <w:p>
      <w:pPr>
        <w:spacing w:after="160" w:line="276"/>
        <w:jc w:val="both"/>
      </w:pPr>
      <w:r>
        <w:rPr>
          <w:rFonts w:ascii="Calibri" w:cs="Calibri" w:eastAsia="Calibri" w:hAnsi="Calibri"/>
          <w:sz w:val="21"/>
          <w:szCs w:val="21"/>
        </w:rPr>
        <w:t xml:space="preserve">The AI4I 2020 dataset labels five mechanistically distinct failure modes, each with a different physical trigger condition and a different appropriate maintenance response.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3600"/>
        <w:gridCol w:w="2700"/>
      </w:tblGrid>
      <w:tr>
        <w:trPr>
          <w:tblHeader/>
        </w:trPr>
        <w:tc>
          <w:tcPr>
            <w:tcW w:type="dxa" w:w="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Code</w:t>
            </w:r>
          </w:p>
        </w:tc>
        <w:tc>
          <w:tcPr>
            <w:tcW w:type="dxa" w:w="21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Failure Mode</w:t>
            </w:r>
          </w:p>
        </w:tc>
        <w:tc>
          <w:tcPr>
            <w:tcW w:type="dxa" w:w="3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Physical Trigger Condition</w:t>
            </w:r>
          </w:p>
        </w:tc>
        <w:tc>
          <w:tcPr>
            <w:tcW w:type="dxa" w:w="2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Typical Maintenance Response</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TWF</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Tool Wear Failure</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Tool wear time falls within a randomly assigned failure window (typically 200–240 minutes of accumulated wear) at which the tool is replaced or fails</w:t>
            </w:r>
          </w:p>
        </w:tc>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Scheduled tool replacement before threshold</w:t>
            </w:r>
          </w:p>
        </w:tc>
      </w:tr>
      <w:tr>
        <w:tc>
          <w:tcPr>
            <w:tcW w:type="dxa" w:w="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HDF</w:t>
            </w:r>
          </w:p>
        </w:tc>
        <w:tc>
          <w:tcPr>
            <w:tcW w:type="dxa" w:w="21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Heat Dissipation Failure</w:t>
            </w:r>
          </w:p>
        </w:tc>
        <w:tc>
          <w:tcPr>
            <w:tcW w:type="dxa" w:w="3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Air/process temperature difference below 8.6 K combined with rotational speed below 1,380 rpm, impairing heat dissipation</w:t>
            </w:r>
          </w:p>
        </w:tc>
        <w:tc>
          <w:tcPr>
            <w:tcW w:type="dxa" w:w="2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Cooling system inspection; speed profile review</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PWF</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Power Failure</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Product of torque and rotational speed (power) falls outside the 3,500–9,000 W effective operating band</w:t>
            </w:r>
          </w:p>
        </w:tc>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Drive/motor diagnostics; load balancing</w:t>
            </w:r>
          </w:p>
        </w:tc>
      </w:tr>
      <w:tr>
        <w:tc>
          <w:tcPr>
            <w:tcW w:type="dxa" w:w="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OSF</w:t>
            </w:r>
          </w:p>
        </w:tc>
        <w:tc>
          <w:tcPr>
            <w:tcW w:type="dxa" w:w="21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Overstrain Failure</w:t>
            </w:r>
          </w:p>
        </w:tc>
        <w:tc>
          <w:tcPr>
            <w:tcW w:type="dxa" w:w="3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Product of tool wear and torque exceeds a quality-variant-specific strain threshold</w:t>
            </w:r>
          </w:p>
        </w:tc>
        <w:tc>
          <w:tcPr>
            <w:tcW w:type="dxa" w:w="2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Load reduction; tool/torque limit review</w:t>
            </w:r>
          </w:p>
        </w:tc>
      </w:tr>
      <w:tr>
        <w:tc>
          <w:tcPr>
            <w:tcW w:type="dxa" w:w="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RNF</w:t>
            </w:r>
          </w:p>
        </w:tc>
        <w:tc>
          <w:tcPr>
            <w:tcW w:type="dxa" w:w="21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Random Failures</w:t>
            </w:r>
          </w:p>
        </w:tc>
        <w:tc>
          <w:tcPr>
            <w:tcW w:type="dxa" w:w="3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Stochastic failure independent of process parameters (approx. 0.1% base rate), representing unmodeled failure causes</w:t>
            </w:r>
          </w:p>
        </w:tc>
        <w:tc>
          <w:tcPr>
            <w:tcW w:type="dxa" w:w="2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Root-cause investigation; not model-addressable by design</w:t>
            </w:r>
          </w:p>
        </w:tc>
      </w:tr>
    </w:tbl>
    <w:p>
      <w:pPr>
        <w:spacing w:after="120"/>
      </w:pPr>
    </w:p>
    <w:p>
      <w:pPr>
        <w:spacing w:after="160" w:line="276"/>
        <w:jc w:val="both"/>
      </w:pPr>
      <w:r>
        <w:rPr>
          <w:rFonts w:ascii="Calibri" w:cs="Calibri" w:eastAsia="Calibri" w:hAnsi="Calibri"/>
          <w:sz w:val="21"/>
          <w:szCs w:val="21"/>
        </w:rPr>
        <w:t xml:space="preserve">Because each failure mode has a distinct signature in the sensor feature space, the modeling strategy in Section 6 treats failure-mode identification as a structured, feature-driven classification problem rather than a purely black-box prediction, which materially aids both model interpretability and maintenance-team trust.</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3. Dataset Profile &amp; Architecture</w:t>
      </w:r>
    </w:p>
    <w:p>
      <w:pPr>
        <w:pStyle w:val="Heading2"/>
        <w:spacing w:after="150" w:before="300"/>
      </w:pPr>
      <w:r>
        <w:rPr>
          <w:rFonts w:ascii="Calibri" w:cs="Calibri" w:eastAsia="Calibri" w:hAnsi="Calibri"/>
          <w:b/>
          <w:bCs/>
          <w:color w:val="2E5395"/>
          <w:sz w:val="25"/>
          <w:szCs w:val="25"/>
        </w:rPr>
        <w:t xml:space="preserve">3.1 Dataset Source</w:t>
      </w:r>
    </w:p>
    <w:p>
      <w:pPr>
        <w:spacing w:after="160" w:line="276"/>
        <w:jc w:val="both"/>
      </w:pPr>
      <w:r>
        <w:rPr>
          <w:rFonts w:ascii="Calibri" w:cs="Calibri" w:eastAsia="Calibri" w:hAnsi="Calibri"/>
          <w:sz w:val="21"/>
          <w:szCs w:val="21"/>
        </w:rPr>
        <w:t xml:space="preserve">The solution is built on the AI4I 2020 Predictive Maintenance Dataset, published via the UCI Machine Learning Repository. The dataset contains 10,000 data points representing individual machine operating cycles, with 14 attributes spanning identifiers, process sensor readings, a binary machine-failure target, and five binary failure-mode indicators. The dataset is synthetically generated to mirror the statistical and physical relationships observed in real milling-machine telemetry, making it a well-suited benchmark for prototyping predictive maintenance pipelines prior to integration with live plant sensor feeds.</w:t>
      </w:r>
    </w:p>
    <w:p>
      <w:pPr>
        <w:pStyle w:val="Heading2"/>
        <w:spacing w:after="150" w:before="300"/>
      </w:pPr>
      <w:r>
        <w:rPr>
          <w:rFonts w:ascii="Calibri" w:cs="Calibri" w:eastAsia="Calibri" w:hAnsi="Calibri"/>
          <w:b/>
          <w:bCs/>
          <w:color w:val="2E5395"/>
          <w:sz w:val="25"/>
          <w:szCs w:val="25"/>
        </w:rPr>
        <w:t xml:space="preserve">3.2 Feature Schema Analysis — Data Dictionary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500"/>
        <w:gridCol w:w="3900"/>
      </w:tblGrid>
      <w:tr>
        <w:trPr>
          <w:tblHeader/>
        </w:trPr>
        <w:tc>
          <w:tcPr>
            <w:tcW w:type="dxa" w:w="2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Feature</w:t>
            </w:r>
          </w:p>
        </w:tc>
        <w:tc>
          <w:tcPr>
            <w:tcW w:type="dxa" w:w="1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w:t>
            </w:r>
          </w:p>
        </w:tc>
        <w:tc>
          <w:tcPr>
            <w:tcW w:type="dxa" w:w="1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Role</w:t>
            </w:r>
          </w:p>
        </w:tc>
        <w:tc>
          <w:tcPr>
            <w:tcW w:type="dxa" w:w="3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UID</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Integer (1–10,000)</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Identifier</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Unique row identifier; excluded from modeling</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Product ID</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String (e.g. L47181)</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Identifier</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Encodes quality variant prefix (L/M/H) plus a serial number; excluded from modeling</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Type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Categorical (L / M / H)</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Product quality variant — Low (~50%), Medium (~30%), High (~20%) of records</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Air temperature [K]</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Continuous</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Ambient air temperature, generated as a random walk around ~300 K</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Process temperature [K]</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Continuous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Process temperature, generated as air temperature plus a normalized offset (~10 K)</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Rotational speed [rpm]</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Continuous</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Spindle rotational speed, derived from a power distribution around ~1,500 rpm with noise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Torque [Nm]</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Continuous</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Torque values, normally distributed around ~40 Nm (no negative values)</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Tool wear [min]</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Continuous</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Feature</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Cumulative tool wear in minutes, incremented per quality variant (H adds more wear per cycle)</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Machine failure</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Primary Target</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1 if any of TWF, HDF, PWF, OSF, or RNF is triggered for that record</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TWF</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Sub-target</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Tool Wear Failure indicator</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HDF</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Sub-target</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Heat Dissipation Failure indicator</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PWF</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Sub-target</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Power Failure indicator</w:t>
            </w:r>
          </w:p>
        </w:tc>
      </w:tr>
      <w:tr>
        <w:tc>
          <w:tcPr>
            <w:tcW w:type="dxa" w:w="2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OSF</w:t>
            </w:r>
          </w:p>
        </w:tc>
        <w:tc>
          <w:tcPr>
            <w:tcW w:type="dxa" w:w="1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Sub-target</w:t>
            </w:r>
          </w:p>
        </w:tc>
        <w:tc>
          <w:tcPr>
            <w:tcW w:type="dxa" w:w="3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Overstrain Failure indicator</w:t>
            </w:r>
          </w:p>
        </w:tc>
      </w:tr>
      <w:tr>
        <w:tc>
          <w:tcPr>
            <w:tcW w:type="dxa" w:w="2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RNF</w:t>
            </w:r>
          </w:p>
        </w:tc>
        <w:tc>
          <w:tcPr>
            <w:tcW w:type="dxa" w:w="1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Binary (0/1)</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Sub-target</w:t>
            </w:r>
          </w:p>
        </w:tc>
        <w:tc>
          <w:tcPr>
            <w:tcW w:type="dxa" w:w="3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Random Failure indicator</w:t>
            </w:r>
          </w:p>
        </w:tc>
      </w:tr>
    </w:tbl>
    <w:p>
      <w:pPr>
        <w:pStyle w:val="Heading2"/>
        <w:spacing w:after="150" w:before="300"/>
      </w:pPr>
      <w:r>
        <w:rPr>
          <w:rFonts w:ascii="Calibri" w:cs="Calibri" w:eastAsia="Calibri" w:hAnsi="Calibri"/>
          <w:b/>
          <w:bCs/>
          <w:color w:val="2E5395"/>
          <w:sz w:val="25"/>
          <w:szCs w:val="25"/>
        </w:rPr>
        <w:t xml:space="preserve">3.3 Data Architecture Notes</w:t>
      </w:r>
    </w:p>
    <w:p>
      <w:pPr>
        <w:pStyle w:val="ListParagraph"/>
        <w:numPr>
          <w:ilvl w:val="0"/>
          <w:numId w:val="2"/>
        </w:numPr>
        <w:spacing w:after="90"/>
      </w:pPr>
      <w:r>
        <w:rPr>
          <w:rFonts w:ascii="Calibri" w:cs="Calibri" w:eastAsia="Calibri" w:hAnsi="Calibri"/>
          <w:b/>
          <w:bCs/>
          <w:sz w:val="21"/>
          <w:szCs w:val="21"/>
        </w:rPr>
        <w:t xml:space="preserve">Grain: </w:t>
      </w:r>
      <w:r>
        <w:rPr>
          <w:rFonts w:ascii="Calibri" w:cs="Calibri" w:eastAsia="Calibri" w:hAnsi="Calibri"/>
          <w:sz w:val="21"/>
          <w:szCs w:val="21"/>
        </w:rPr>
        <w:t xml:space="preserve">one record per discrete operating cycle/observation window — not a continuous time series in the raw file, though it is designed to emulate sequential sensor snapshots.</w:t>
      </w:r>
    </w:p>
    <w:p>
      <w:pPr>
        <w:pStyle w:val="ListParagraph"/>
        <w:numPr>
          <w:ilvl w:val="0"/>
          <w:numId w:val="2"/>
        </w:numPr>
        <w:spacing w:after="90"/>
      </w:pPr>
      <w:r>
        <w:rPr>
          <w:rFonts w:ascii="Calibri" w:cs="Calibri" w:eastAsia="Calibri" w:hAnsi="Calibri"/>
          <w:b/>
          <w:bCs/>
          <w:sz w:val="21"/>
          <w:szCs w:val="21"/>
        </w:rPr>
        <w:t xml:space="preserve">Target hierarchy: </w:t>
      </w:r>
      <w:r>
        <w:rPr>
          <w:rFonts w:ascii="Calibri" w:cs="Calibri" w:eastAsia="Calibri" w:hAnsi="Calibri"/>
          <w:sz w:val="21"/>
          <w:szCs w:val="21"/>
        </w:rPr>
        <w:t xml:space="preserve">"Machine failure" is the logical OR of the five sub-targets, so the pipeline supports both a single binary head and a multi-label head from the same schema without additional labeling effort.</w:t>
      </w:r>
    </w:p>
    <w:p>
      <w:pPr>
        <w:pStyle w:val="ListParagraph"/>
        <w:numPr>
          <w:ilvl w:val="0"/>
          <w:numId w:val="2"/>
        </w:numPr>
        <w:spacing w:after="90"/>
      </w:pPr>
      <w:r>
        <w:rPr>
          <w:rFonts w:ascii="Calibri" w:cs="Calibri" w:eastAsia="Calibri" w:hAnsi="Calibri"/>
          <w:b/>
          <w:bCs/>
          <w:sz w:val="21"/>
          <w:szCs w:val="21"/>
        </w:rPr>
        <w:t xml:space="preserve">Referential exclusions: </w:t>
      </w:r>
      <w:r>
        <w:rPr>
          <w:rFonts w:ascii="Calibri" w:cs="Calibri" w:eastAsia="Calibri" w:hAnsi="Calibri"/>
          <w:sz w:val="21"/>
          <w:szCs w:val="21"/>
        </w:rPr>
        <w:t xml:space="preserve">UID and Product ID carry no predictive signal on their own and are dropped prior to model training; the L/M/H prefix embedded in Product ID is redundant with the Type feature.</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4. Exploratory Data Analysis (EDA) &amp; Insights</w:t>
      </w:r>
    </w:p>
    <w:p>
      <w:pPr>
        <w:pStyle w:val="Heading2"/>
        <w:spacing w:after="150" w:before="300"/>
      </w:pPr>
      <w:r>
        <w:rPr>
          <w:rFonts w:ascii="Calibri" w:cs="Calibri" w:eastAsia="Calibri" w:hAnsi="Calibri"/>
          <w:b/>
          <w:bCs/>
          <w:color w:val="2E5395"/>
          <w:sz w:val="25"/>
          <w:szCs w:val="25"/>
        </w:rPr>
        <w:t xml:space="preserve">4.1 Class Imbalance Analysis</w:t>
      </w:r>
    </w:p>
    <w:p>
      <w:pPr>
        <w:spacing w:after="160" w:line="276"/>
        <w:jc w:val="both"/>
      </w:pPr>
      <w:r>
        <w:rPr>
          <w:rFonts w:ascii="Calibri" w:cs="Calibri" w:eastAsia="Calibri" w:hAnsi="Calibri"/>
          <w:sz w:val="21"/>
          <w:szCs w:val="21"/>
        </w:rPr>
        <w:t xml:space="preserve">The dataset exhibits pronounced class imbalance characteristic of real-world reliability data: machine failures represent a small minority of total records (on the order of 3–4% of the 10,000 observations), and within that minority, the five failure-mode sub-targets are further imbalanced relative to one another, with TWF, HDF, PWF, and OSF each occurring at low single-digit-percentage rates and RNF occurring at a base rate near 0.1%. This imbalance has direct implications for model evaluation strategy (Section 6.3) and for the resampling and cost-sensitive techniques applied during preprocessing (Section 5.1).</w:t>
      </w:r>
    </w:p>
    <w:p>
      <w:pPr>
        <w:pStyle w:val="Heading2"/>
        <w:spacing w:after="150" w:before="300"/>
      </w:pPr>
      <w:r>
        <w:rPr>
          <w:rFonts w:ascii="Calibri" w:cs="Calibri" w:eastAsia="Calibri" w:hAnsi="Calibri"/>
          <w:b/>
          <w:bCs/>
          <w:color w:val="2E5395"/>
          <w:sz w:val="25"/>
          <w:szCs w:val="25"/>
        </w:rPr>
        <w:t xml:space="preserve">4.2 Correlation &amp; Relationship Analysis</w:t>
      </w:r>
    </w:p>
    <w:p>
      <w:pPr>
        <w:pStyle w:val="ListParagraph"/>
        <w:numPr>
          <w:ilvl w:val="0"/>
          <w:numId w:val="2"/>
        </w:numPr>
        <w:spacing w:after="90"/>
      </w:pPr>
      <w:r>
        <w:rPr>
          <w:rFonts w:ascii="Calibri" w:cs="Calibri" w:eastAsia="Calibri" w:hAnsi="Calibri"/>
          <w:b/>
          <w:bCs/>
          <w:sz w:val="21"/>
          <w:szCs w:val="21"/>
        </w:rPr>
        <w:t xml:space="preserve">Torque vs. Rotational Speed: </w:t>
      </w:r>
      <w:r>
        <w:rPr>
          <w:rFonts w:ascii="Calibri" w:cs="Calibri" w:eastAsia="Calibri" w:hAnsi="Calibri"/>
          <w:sz w:val="21"/>
          <w:szCs w:val="21"/>
        </w:rPr>
        <w:t xml:space="preserve">an inverse relationship is expected and observed, consistent with the underlying power generation process — at approximately constant power draw, torque and rotational speed trade off against one another, which is precisely the relationship exploited by the engineered Power feature in Section 5.2.</w:t>
      </w:r>
    </w:p>
    <w:p>
      <w:pPr>
        <w:pStyle w:val="ListParagraph"/>
        <w:numPr>
          <w:ilvl w:val="0"/>
          <w:numId w:val="2"/>
        </w:numPr>
        <w:spacing w:after="90"/>
      </w:pPr>
      <w:r>
        <w:rPr>
          <w:rFonts w:ascii="Calibri" w:cs="Calibri" w:eastAsia="Calibri" w:hAnsi="Calibri"/>
          <w:b/>
          <w:bCs/>
          <w:sz w:val="21"/>
          <w:szCs w:val="21"/>
        </w:rPr>
        <w:t xml:space="preserve">Air Temperature vs. Process Temperature: </w:t>
      </w:r>
      <w:r>
        <w:rPr>
          <w:rFonts w:ascii="Calibri" w:cs="Calibri" w:eastAsia="Calibri" w:hAnsi="Calibri"/>
          <w:sz w:val="21"/>
          <w:szCs w:val="21"/>
        </w:rPr>
        <w:t xml:space="preserve">strongly positively correlated, since process temperature is generated as air temperature plus a bounded offset; the residual gap between them — rather than either absolute value — is the more informative signal for Heat Dissipation Failure and is isolated via the engineered Temperature Difference feature.</w:t>
      </w:r>
    </w:p>
    <w:p>
      <w:pPr>
        <w:pStyle w:val="ListParagraph"/>
        <w:numPr>
          <w:ilvl w:val="0"/>
          <w:numId w:val="2"/>
        </w:numPr>
        <w:spacing w:after="90"/>
      </w:pPr>
      <w:r>
        <w:rPr>
          <w:rFonts w:ascii="Calibri" w:cs="Calibri" w:eastAsia="Calibri" w:hAnsi="Calibri"/>
          <w:b/>
          <w:bCs/>
          <w:sz w:val="21"/>
          <w:szCs w:val="21"/>
        </w:rPr>
        <w:t xml:space="preserve">Tool Wear vs. Failure Probability: </w:t>
      </w:r>
      <w:r>
        <w:rPr>
          <w:rFonts w:ascii="Calibri" w:cs="Calibri" w:eastAsia="Calibri" w:hAnsi="Calibri"/>
          <w:sz w:val="21"/>
          <w:szCs w:val="21"/>
        </w:rPr>
        <w:t xml:space="preserve">failure probability is non-linear in tool wear, remaining low for the majority of the tool's service life and rising sharply as accumulated wear approaches the TWF and OSF trigger thresholds.</w:t>
      </w:r>
    </w:p>
    <w:p>
      <w:pPr>
        <w:pStyle w:val="ListParagraph"/>
        <w:numPr>
          <w:ilvl w:val="0"/>
          <w:numId w:val="2"/>
        </w:numPr>
        <w:spacing w:after="90"/>
      </w:pPr>
      <w:r>
        <w:rPr>
          <w:rFonts w:ascii="Calibri" w:cs="Calibri" w:eastAsia="Calibri" w:hAnsi="Calibri"/>
          <w:b/>
          <w:bCs/>
          <w:sz w:val="21"/>
          <w:szCs w:val="21"/>
        </w:rPr>
        <w:t xml:space="preserve">Type (Quality Variant) vs. Failure Rate: </w:t>
      </w:r>
      <w:r>
        <w:rPr>
          <w:rFonts w:ascii="Calibri" w:cs="Calibri" w:eastAsia="Calibri" w:hAnsi="Calibri"/>
          <w:sz w:val="21"/>
          <w:szCs w:val="21"/>
        </w:rPr>
        <w:t xml:space="preserve">failure incidence varies by quality variant, since the Overstrain Failure threshold and per-cycle tool-wear increment are both variant-dependent, making Type an interaction-relevant feature rather than a purely categorical control.</w:t>
      </w:r>
    </w:p>
    <w:p>
      <w:pPr>
        <w:pStyle w:val="Heading2"/>
        <w:spacing w:after="150" w:before="300"/>
      </w:pPr>
      <w:r>
        <w:rPr>
          <w:rFonts w:ascii="Calibri" w:cs="Calibri" w:eastAsia="Calibri" w:hAnsi="Calibri"/>
          <w:b/>
          <w:bCs/>
          <w:color w:val="2E5395"/>
          <w:sz w:val="25"/>
          <w:szCs w:val="25"/>
        </w:rPr>
        <w:t xml:space="preserve">4.3 Key EDA Visual Findings</w:t>
      </w:r>
    </w:p>
    <w:p>
      <w:pPr>
        <w:spacing w:after="160" w:line="276"/>
        <w:jc w:val="both"/>
      </w:pPr>
      <w:r>
        <w:rPr>
          <w:rFonts w:ascii="Calibri" w:cs="Calibri" w:eastAsia="Calibri" w:hAnsi="Calibri"/>
          <w:sz w:val="21"/>
          <w:szCs w:val="21"/>
        </w:rPr>
        <w:t xml:space="preserve">Distributional analysis of the four continuous process variables shows air temperature, process temperature, rotational speed, and torque each following approximately unimodal, near-normal distributions consistent with their generative design, with rotational speed exhibiting a right-skew consistent with a power-law-influenced generation process. Boxplot analysis by failure status shows visibly elevated torque and reduced rotational speed among Power Failure cases, a widened Air–Process temperature gap among Heat Dissipation Failure cases, and elevated tool wear concentrated in a defined band among Tool Wear Failure and Overstrain Failure cases — visually confirming the threshold-based generative logic described in Section 2.2 and providing strong a priori justification for the engineered features defined in Section 5.2.</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5. Data Preprocessing &amp; Feature Engineering</w:t>
      </w:r>
    </w:p>
    <w:p>
      <w:pPr>
        <w:pStyle w:val="Heading2"/>
        <w:spacing w:after="150" w:before="300"/>
      </w:pPr>
      <w:r>
        <w:rPr>
          <w:rFonts w:ascii="Calibri" w:cs="Calibri" w:eastAsia="Calibri" w:hAnsi="Calibri"/>
          <w:b/>
          <w:bCs/>
          <w:color w:val="2E5395"/>
          <w:sz w:val="25"/>
          <w:szCs w:val="25"/>
        </w:rPr>
        <w:t xml:space="preserve">5.1 Handling Class Imbalance</w:t>
      </w:r>
    </w:p>
    <w:p>
      <w:pPr>
        <w:pStyle w:val="ListParagraph"/>
        <w:numPr>
          <w:ilvl w:val="0"/>
          <w:numId w:val="2"/>
        </w:numPr>
        <w:spacing w:after="90"/>
      </w:pPr>
      <w:r>
        <w:rPr>
          <w:rFonts w:ascii="Calibri" w:cs="Calibri" w:eastAsia="Calibri" w:hAnsi="Calibri"/>
          <w:b/>
          <w:bCs/>
          <w:sz w:val="21"/>
          <w:szCs w:val="21"/>
        </w:rPr>
        <w:t xml:space="preserve">SMOTE (Synthetic Minority Over-sampling Technique): </w:t>
      </w:r>
      <w:r>
        <w:rPr>
          <w:rFonts w:ascii="Calibri" w:cs="Calibri" w:eastAsia="Calibri" w:hAnsi="Calibri"/>
          <w:sz w:val="21"/>
          <w:szCs w:val="21"/>
        </w:rPr>
        <w:t xml:space="preserve">applied within the training-fold cross-validation loop only (never on validation/test folds, to prevent information leakage) to synthetically upsample minority failure classes toward a more balanced training distribution.</w:t>
      </w:r>
    </w:p>
    <w:p>
      <w:pPr>
        <w:pStyle w:val="ListParagraph"/>
        <w:numPr>
          <w:ilvl w:val="0"/>
          <w:numId w:val="2"/>
        </w:numPr>
        <w:spacing w:after="90"/>
      </w:pPr>
      <w:r>
        <w:rPr>
          <w:rFonts w:ascii="Calibri" w:cs="Calibri" w:eastAsia="Calibri" w:hAnsi="Calibri"/>
          <w:b/>
          <w:bCs/>
          <w:sz w:val="21"/>
          <w:szCs w:val="21"/>
        </w:rPr>
        <w:t xml:space="preserve">Cost-sensitive learning: </w:t>
      </w:r>
      <w:r>
        <w:rPr>
          <w:rFonts w:ascii="Calibri" w:cs="Calibri" w:eastAsia="Calibri" w:hAnsi="Calibri"/>
          <w:sz w:val="21"/>
          <w:szCs w:val="21"/>
        </w:rPr>
        <w:t xml:space="preserve">class weighting (e.g., scikit-learn's class_weight='balanced', or XGBoost's scale_pos_weight) applied as an alternative or complementary technique that penalizes false negatives more heavily during training without altering the underlying data distribution.</w:t>
      </w:r>
    </w:p>
    <w:p>
      <w:pPr>
        <w:pStyle w:val="ListParagraph"/>
        <w:numPr>
          <w:ilvl w:val="0"/>
          <w:numId w:val="2"/>
        </w:numPr>
        <w:spacing w:after="90"/>
      </w:pPr>
      <w:r>
        <w:rPr>
          <w:rFonts w:ascii="Calibri" w:cs="Calibri" w:eastAsia="Calibri" w:hAnsi="Calibri"/>
          <w:b/>
          <w:bCs/>
          <w:sz w:val="21"/>
          <w:szCs w:val="21"/>
        </w:rPr>
        <w:t xml:space="preserve">Stratified cross-validation: </w:t>
      </w:r>
      <w:r>
        <w:rPr>
          <w:rFonts w:ascii="Calibri" w:cs="Calibri" w:eastAsia="Calibri" w:hAnsi="Calibri"/>
          <w:sz w:val="21"/>
          <w:szCs w:val="21"/>
        </w:rPr>
        <w:t xml:space="preserve">all train/validation splits are stratified on the target to preserve the true failure rate in every fold, preventing evaluation folds that contain zero or near-zero positive examples.</w:t>
      </w:r>
    </w:p>
    <w:p>
      <w:pPr>
        <w:pStyle w:val="ListParagraph"/>
        <w:numPr>
          <w:ilvl w:val="0"/>
          <w:numId w:val="2"/>
        </w:numPr>
        <w:spacing w:after="90"/>
      </w:pPr>
      <w:r>
        <w:rPr>
          <w:rFonts w:ascii="Calibri" w:cs="Calibri" w:eastAsia="Calibri" w:hAnsi="Calibri"/>
          <w:b/>
          <w:bCs/>
          <w:sz w:val="21"/>
          <w:szCs w:val="21"/>
        </w:rPr>
        <w:t xml:space="preserve">Threshold tuning: </w:t>
      </w:r>
      <w:r>
        <w:rPr>
          <w:rFonts w:ascii="Calibri" w:cs="Calibri" w:eastAsia="Calibri" w:hAnsi="Calibri"/>
          <w:sz w:val="21"/>
          <w:szCs w:val="21"/>
        </w:rPr>
        <w:t xml:space="preserve">post-hoc decision-threshold calibration (rather than the default 0.5 cutoff) applied on the validation set to optimize the recall/precision trade-off against the business cost matrix in Section 8.</w:t>
      </w:r>
    </w:p>
    <w:p>
      <w:pPr>
        <w:pStyle w:val="Heading2"/>
        <w:spacing w:after="150" w:before="300"/>
      </w:pPr>
      <w:r>
        <w:rPr>
          <w:rFonts w:ascii="Calibri" w:cs="Calibri" w:eastAsia="Calibri" w:hAnsi="Calibri"/>
          <w:b/>
          <w:bCs/>
          <w:color w:val="2E5395"/>
          <w:sz w:val="25"/>
          <w:szCs w:val="25"/>
        </w:rPr>
        <w:t xml:space="preserve">5.2 Feature Generation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00"/>
      </w:tblGrid>
      <w:tr>
        <w:trPr>
          <w:tblHeader/>
        </w:trPr>
        <w:tc>
          <w:tcPr>
            <w:tcW w:type="dxa" w:w="2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Engineered Feature</w:t>
            </w:r>
          </w:p>
        </w:tc>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Formula</w:t>
            </w:r>
          </w:p>
        </w:tc>
        <w:tc>
          <w:tcPr>
            <w:tcW w:type="dxa" w:w="37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Temperature Difference (ΔT)</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ΔT = Process Temperature − Air Temperature</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Isolates the heat-dissipation margin directly implicated in HDF, rather than relying on two correlated absolute temperatures</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Power (P)</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 = Torque × Rotational Speed × (2π / 60)</w:t>
            </w:r>
          </w:p>
        </w:tc>
        <w:tc>
          <w:tcPr>
            <w:tcW w:type="dxa" w:w="3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Reconstructs mechanical power in watts, directly implicated in the PWF trigger band (3,500–9,000 W)</w:t>
            </w:r>
          </w:p>
        </w:tc>
      </w:tr>
      <w:tr>
        <w:tc>
          <w:tcPr>
            <w:tcW w:type="dxa" w:w="2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Tool Strain / Wear Index</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Index = Tool Wear × Torque</w:t>
            </w:r>
          </w:p>
        </w:tc>
        <w:tc>
          <w:tcPr>
            <w:tcW w:type="dxa" w:w="37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Approximates the cumulative mechanical strain driving OSF, which is threshold-triggered on this product in the source data</w:t>
            </w:r>
          </w:p>
        </w:tc>
      </w:tr>
      <w:tr>
        <w:tc>
          <w:tcPr>
            <w:tcW w:type="dxa" w:w="2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Wear Rate Bucket</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Binned Tool Wear (e.g., 0–50 / 50–150 / 150–200 / 200+ min)</w:t>
            </w:r>
          </w:p>
        </w:tc>
        <w:tc>
          <w:tcPr>
            <w:tcW w:type="dxa" w:w="37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Captures the non-linear, threshold-driven relationship between wear and failure probability identified in Section 4.2</w:t>
            </w:r>
          </w:p>
        </w:tc>
      </w:tr>
    </w:tbl>
    <w:p>
      <w:pPr>
        <w:pStyle w:val="Heading2"/>
        <w:spacing w:after="150" w:before="300"/>
      </w:pPr>
      <w:r>
        <w:rPr>
          <w:rFonts w:ascii="Calibri" w:cs="Calibri" w:eastAsia="Calibri" w:hAnsi="Calibri"/>
          <w:b/>
          <w:bCs/>
          <w:color w:val="2E5395"/>
          <w:sz w:val="25"/>
          <w:szCs w:val="25"/>
        </w:rPr>
        <w:t xml:space="preserve">5.3 Scaling &amp; Encoding</w:t>
      </w:r>
    </w:p>
    <w:p>
      <w:pPr>
        <w:pStyle w:val="ListParagraph"/>
        <w:numPr>
          <w:ilvl w:val="0"/>
          <w:numId w:val="2"/>
        </w:numPr>
        <w:spacing w:after="90"/>
      </w:pPr>
      <w:r>
        <w:rPr>
          <w:rFonts w:ascii="Calibri" w:cs="Calibri" w:eastAsia="Calibri" w:hAnsi="Calibri"/>
          <w:b/>
          <w:bCs/>
          <w:sz w:val="21"/>
          <w:szCs w:val="21"/>
        </w:rPr>
        <w:t xml:space="preserve">Categorical encoding: </w:t>
      </w:r>
      <w:r>
        <w:rPr>
          <w:rFonts w:ascii="Calibri" w:cs="Calibri" w:eastAsia="Calibri" w:hAnsi="Calibri"/>
          <w:sz w:val="21"/>
          <w:szCs w:val="21"/>
        </w:rPr>
        <w:t xml:space="preserve">One-Hot Encoding applied to the Type feature (L/M/H), producing two binary indicator columns to avoid the dummy-variable trap.</w:t>
      </w:r>
    </w:p>
    <w:p>
      <w:pPr>
        <w:pStyle w:val="ListParagraph"/>
        <w:numPr>
          <w:ilvl w:val="0"/>
          <w:numId w:val="2"/>
        </w:numPr>
        <w:spacing w:after="90"/>
      </w:pPr>
      <w:r>
        <w:rPr>
          <w:rFonts w:ascii="Calibri" w:cs="Calibri" w:eastAsia="Calibri" w:hAnsi="Calibri"/>
          <w:b/>
          <w:bCs/>
          <w:sz w:val="21"/>
          <w:szCs w:val="21"/>
        </w:rPr>
        <w:t xml:space="preserve">Continuous scaling: </w:t>
      </w:r>
      <w:r>
        <w:rPr>
          <w:rFonts w:ascii="Calibri" w:cs="Calibri" w:eastAsia="Calibri" w:hAnsi="Calibri"/>
          <w:sz w:val="21"/>
          <w:szCs w:val="21"/>
        </w:rPr>
        <w:t xml:space="preserve">StandardScaler (zero mean, unit variance) applied for algorithms sensitive to feature magnitude (Logistic Regression, SVM); tree-based ensembles (Random Forest, XGBoost, LightGBM) are trained on unscaled engineered features since split-based models are scale-invariant.</w:t>
      </w:r>
    </w:p>
    <w:p>
      <w:pPr>
        <w:pStyle w:val="ListParagraph"/>
        <w:numPr>
          <w:ilvl w:val="0"/>
          <w:numId w:val="2"/>
        </w:numPr>
        <w:spacing w:after="90"/>
      </w:pPr>
      <w:r>
        <w:rPr>
          <w:rFonts w:ascii="Calibri" w:cs="Calibri" w:eastAsia="Calibri" w:hAnsi="Calibri"/>
          <w:b/>
          <w:bCs/>
          <w:sz w:val="21"/>
          <w:szCs w:val="21"/>
        </w:rPr>
        <w:t xml:space="preserve">Leakage control: </w:t>
      </w:r>
      <w:r>
        <w:rPr>
          <w:rFonts w:ascii="Calibri" w:cs="Calibri" w:eastAsia="Calibri" w:hAnsi="Calibri"/>
          <w:sz w:val="21"/>
          <w:szCs w:val="21"/>
        </w:rPr>
        <w:t xml:space="preserve">scaler and encoder objects are fit exclusively on the training fold within each cross-validation split and applied (never re-fit) to validation and test folds.</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6. Model Architecture &amp; Candidate Evaluation</w:t>
      </w:r>
    </w:p>
    <w:p>
      <w:pPr>
        <w:pStyle w:val="Heading2"/>
        <w:spacing w:after="150" w:before="300"/>
      </w:pPr>
      <w:r>
        <w:rPr>
          <w:rFonts w:ascii="Calibri" w:cs="Calibri" w:eastAsia="Calibri" w:hAnsi="Calibri"/>
          <w:b/>
          <w:bCs/>
          <w:color w:val="2E5395"/>
          <w:sz w:val="25"/>
          <w:szCs w:val="25"/>
        </w:rPr>
        <w:t xml:space="preserve">6.1 Algorithms Evaluated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000"/>
        <w:gridCol w:w="2800"/>
      </w:tblGrid>
      <w:tr>
        <w:trPr>
          <w:tblHeader/>
        </w:trPr>
        <w:tc>
          <w:tcPr>
            <w:tcW w:type="dxa" w:w="1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Algorithm</w:t>
            </w:r>
          </w:p>
        </w:tc>
        <w:tc>
          <w:tcPr>
            <w:tcW w:type="dxa" w:w="16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Type</w:t>
            </w:r>
          </w:p>
        </w:tc>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Strengths for This Problem</w:t>
            </w:r>
          </w:p>
        </w:tc>
        <w:tc>
          <w:tcPr>
            <w:tcW w:type="dxa" w:w="28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Considerations</w:t>
            </w:r>
          </w:p>
        </w:tc>
      </w:tr>
      <w:tr>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Logistic Regression</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Linear, interpretable baseline</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Fast, highly interpretable coefficients, strong baseline for stakeholder trust</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Limited capacity for the non-linear, threshold-based failure logic in Section 2.2</w:t>
            </w:r>
          </w:p>
        </w:tc>
      </w:tr>
      <w:tr>
        <w:tc>
          <w:tcPr>
            <w:tcW w:type="dxa" w:w="1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Support Vector Machine (SVM)</w:t>
            </w:r>
          </w:p>
        </w:tc>
        <w:tc>
          <w:tcPr>
            <w:tcW w:type="dxa" w:w="1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Kernel-based margin classifier</w:t>
            </w:r>
          </w:p>
        </w:tc>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Effective on the moderate-dimensional, engineered feature space; RBF kernel captures non-linear boundaries</w:t>
            </w:r>
          </w:p>
        </w:tc>
        <w:tc>
          <w:tcPr>
            <w:tcW w:type="dxa" w:w="28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Slower training at scale; less directly interpretable</w:t>
            </w:r>
          </w:p>
        </w:tc>
      </w:tr>
      <w:tr>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Random Forest</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Bagged tree ensemble</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Robust to outliers and feature scale; native feature-importance output; strong default performance</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Larger model artifact size; less naturally suited to extreme imbalance without weighting</w:t>
            </w:r>
          </w:p>
        </w:tc>
      </w:tr>
      <w:tr>
        <w:tc>
          <w:tcPr>
            <w:tcW w:type="dxa" w:w="1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XGBoost</w:t>
            </w:r>
          </w:p>
        </w:tc>
        <w:tc>
          <w:tcPr>
            <w:tcW w:type="dxa" w:w="16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Gradient-boosted trees</w:t>
            </w:r>
          </w:p>
        </w:tc>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State-of-the-art tabular performance; native scale_pos_weight and monotonic constraint support</w:t>
            </w:r>
          </w:p>
        </w:tc>
        <w:tc>
          <w:tcPr>
            <w:tcW w:type="dxa" w:w="28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Requires careful hyperparameter tuning to avoid overfitting the minority class</w:t>
            </w:r>
          </w:p>
        </w:tc>
      </w:tr>
      <w:tr>
        <w:tc>
          <w:tcPr>
            <w:tcW w:type="dxa" w:w="1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LightGBM</w:t>
            </w:r>
          </w:p>
        </w:tc>
        <w:tc>
          <w:tcPr>
            <w:tcW w:type="dxa" w:w="16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Gradient-boosted trees (leaf-wise)</w:t>
            </w:r>
          </w:p>
        </w:tc>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Fastest training among boosted candidates; efficient on larger feature sets; strong candidate for production retraining cadence</w:t>
            </w:r>
          </w:p>
        </w:tc>
        <w:tc>
          <w:tcPr>
            <w:tcW w:type="dxa" w:w="28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Leaf-wise growth can overfit small datasets without depth/leaf constraints</w:t>
            </w:r>
          </w:p>
        </w:tc>
      </w:tr>
    </w:tbl>
    <w:p>
      <w:pPr>
        <w:pStyle w:val="Heading2"/>
        <w:spacing w:after="150" w:before="300"/>
      </w:pPr>
      <w:r>
        <w:rPr>
          <w:rFonts w:ascii="Calibri" w:cs="Calibri" w:eastAsia="Calibri" w:hAnsi="Calibri"/>
          <w:b/>
          <w:bCs/>
          <w:color w:val="2E5395"/>
          <w:sz w:val="25"/>
          <w:szCs w:val="25"/>
        </w:rPr>
        <w:t xml:space="preserve">6.2 Hyperparameter Optimization</w:t>
      </w:r>
    </w:p>
    <w:p>
      <w:pPr>
        <w:spacing w:after="160" w:line="276"/>
        <w:jc w:val="both"/>
      </w:pPr>
      <w:r>
        <w:rPr>
          <w:rFonts w:ascii="Calibri" w:cs="Calibri" w:eastAsia="Calibri" w:hAnsi="Calibri"/>
          <w:sz w:val="21"/>
          <w:szCs w:val="21"/>
        </w:rPr>
        <w:t xml:space="preserve">Hyperparameter search is conducted using k-fold (k = 5) Stratified Cross-Validation combined with Grid Search for smaller, well-understood parameter spaces (Logistic Regression, SVM) and Randomized Search for the higher-dimensional parameter spaces of the tree-ensemble candidates (Random Forest, XGBoost, LightGBM), balancing search thoroughness against compute budget. Key tuned parameters include tree depth, learning rate, number of estimators, minimum child weight / leaf samples, and the class-imbalance handling parameter (scale_pos_weight or class_weight) for each respective algorithm.</w:t>
      </w:r>
    </w:p>
    <w:p>
      <w:pPr>
        <w:pStyle w:val="Heading2"/>
        <w:spacing w:after="150" w:before="300"/>
      </w:pPr>
      <w:r>
        <w:rPr>
          <w:rFonts w:ascii="Calibri" w:cs="Calibri" w:eastAsia="Calibri" w:hAnsi="Calibri"/>
          <w:b/>
          <w:bCs/>
          <w:color w:val="2E5395"/>
          <w:sz w:val="25"/>
          <w:szCs w:val="25"/>
        </w:rPr>
        <w:t xml:space="preserve">6.3 Evaluation Metric Selection</w:t>
      </w:r>
    </w:p>
    <w:p>
      <w:pPr>
        <w:spacing w:after="160" w:line="276"/>
        <w:jc w:val="both"/>
      </w:pPr>
      <w:r>
        <w:rPr>
          <w:rFonts w:ascii="Calibri" w:cs="Calibri" w:eastAsia="Calibri" w:hAnsi="Calibri"/>
          <w:sz w:val="21"/>
          <w:szCs w:val="21"/>
        </w:rPr>
        <w:t xml:space="preserve">Accuracy is an unsuitable primary metric for this problem: because failures represent roughly 3–4% of records, a trivial model that predicts "no failure" for every record would achieve upwards of 96% accuracy while providing zero business value and missing every actionable failure event. The evaluation strategy therefore prioritizes:</w:t>
      </w:r>
    </w:p>
    <w:p>
      <w:pPr>
        <w:pStyle w:val="ListParagraph"/>
        <w:numPr>
          <w:ilvl w:val="0"/>
          <w:numId w:val="2"/>
        </w:numPr>
        <w:spacing w:after="90"/>
      </w:pPr>
      <w:r>
        <w:rPr>
          <w:rFonts w:ascii="Calibri" w:cs="Calibri" w:eastAsia="Calibri" w:hAnsi="Calibri"/>
          <w:b/>
          <w:bCs/>
          <w:sz w:val="21"/>
          <w:szCs w:val="21"/>
        </w:rPr>
        <w:t xml:space="preserve">Recall (Sensitivity) on the failure class: </w:t>
      </w:r>
      <w:r>
        <w:rPr>
          <w:rFonts w:ascii="Calibri" w:cs="Calibri" w:eastAsia="Calibri" w:hAnsi="Calibri"/>
          <w:sz w:val="21"/>
          <w:szCs w:val="21"/>
        </w:rPr>
        <w:t xml:space="preserve">the priority metric, since a missed failure (false negative) risks unplanned downtime, safety exposure, and the highest-cost reactive repair scenario described in Section 2.1.</w:t>
      </w:r>
    </w:p>
    <w:p>
      <w:pPr>
        <w:pStyle w:val="ListParagraph"/>
        <w:numPr>
          <w:ilvl w:val="0"/>
          <w:numId w:val="2"/>
        </w:numPr>
        <w:spacing w:after="90"/>
      </w:pPr>
      <w:r>
        <w:rPr>
          <w:rFonts w:ascii="Calibri" w:cs="Calibri" w:eastAsia="Calibri" w:hAnsi="Calibri"/>
          <w:b/>
          <w:bCs/>
          <w:sz w:val="21"/>
          <w:szCs w:val="21"/>
        </w:rPr>
        <w:t xml:space="preserve">F1-Score (macro and weighted): </w:t>
      </w:r>
      <w:r>
        <w:rPr>
          <w:rFonts w:ascii="Calibri" w:cs="Calibri" w:eastAsia="Calibri" w:hAnsi="Calibri"/>
          <w:sz w:val="21"/>
          <w:szCs w:val="21"/>
        </w:rPr>
        <w:t xml:space="preserve">balances recall against precision so that the model is not optimized into a degenerate "flag everything" state that would erode maintenance-team trust and drive alert fatigue.</w:t>
      </w:r>
    </w:p>
    <w:p>
      <w:pPr>
        <w:pStyle w:val="ListParagraph"/>
        <w:numPr>
          <w:ilvl w:val="0"/>
          <w:numId w:val="2"/>
        </w:numPr>
        <w:spacing w:after="90"/>
      </w:pPr>
      <w:r>
        <w:rPr>
          <w:rFonts w:ascii="Calibri" w:cs="Calibri" w:eastAsia="Calibri" w:hAnsi="Calibri"/>
          <w:b/>
          <w:bCs/>
          <w:sz w:val="21"/>
          <w:szCs w:val="21"/>
        </w:rPr>
        <w:t xml:space="preserve">Precision-Recall AUC: </w:t>
      </w:r>
      <w:r>
        <w:rPr>
          <w:rFonts w:ascii="Calibri" w:cs="Calibri" w:eastAsia="Calibri" w:hAnsi="Calibri"/>
          <w:sz w:val="21"/>
          <w:szCs w:val="21"/>
        </w:rPr>
        <w:t xml:space="preserve">preferred over ROC-AUC for this class distribution, since PR-AUC is materially more informative than ROC-AUC under significant class imbalance.</w:t>
      </w:r>
    </w:p>
    <w:p>
      <w:pPr>
        <w:pStyle w:val="ListParagraph"/>
        <w:numPr>
          <w:ilvl w:val="0"/>
          <w:numId w:val="2"/>
        </w:numPr>
        <w:spacing w:after="90"/>
      </w:pPr>
      <w:r>
        <w:rPr>
          <w:rFonts w:ascii="Calibri" w:cs="Calibri" w:eastAsia="Calibri" w:hAnsi="Calibri"/>
          <w:b/>
          <w:bCs/>
          <w:sz w:val="21"/>
          <w:szCs w:val="21"/>
        </w:rPr>
        <w:t xml:space="preserve">Confusion matrix review per failure mode: </w:t>
      </w:r>
      <w:r>
        <w:rPr>
          <w:rFonts w:ascii="Calibri" w:cs="Calibri" w:eastAsia="Calibri" w:hAnsi="Calibri"/>
          <w:sz w:val="21"/>
          <w:szCs w:val="21"/>
        </w:rPr>
        <w:t xml:space="preserve">used for the multi-label failure-type head to ensure no individual failure mode (particularly the rare RNF class) is being systematically ignored by the aggregate metric.</w:t>
      </w:r>
    </w:p>
    <w:p>
      <w:pPr>
        <w:spacing w:after="160" w:line="276"/>
        <w:jc w:val="both"/>
      </w:pPr>
      <w:r>
        <w:rPr>
          <w:rFonts w:ascii="Calibri" w:cs="Calibri" w:eastAsia="Calibri" w:hAnsi="Calibri"/>
          <w:sz w:val="21"/>
          <w:szCs w:val="21"/>
        </w:rPr>
        <w:t xml:space="preserve">Accuracy is retained only as a secondary, contextual metric reported alongside — never in place of — the recall- and F1-oriented metrics above.</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7. System Architecture &amp; Deployment Pipeline</w:t>
      </w:r>
    </w:p>
    <w:p>
      <w:pPr>
        <w:pStyle w:val="Heading2"/>
        <w:spacing w:after="150" w:before="300"/>
      </w:pPr>
      <w:r>
        <w:rPr>
          <w:rFonts w:ascii="Calibri" w:cs="Calibri" w:eastAsia="Calibri" w:hAnsi="Calibri"/>
          <w:b/>
          <w:bCs/>
          <w:color w:val="2E5395"/>
          <w:sz w:val="25"/>
          <w:szCs w:val="25"/>
        </w:rPr>
        <w:t xml:space="preserve">7.1 End-to-End Architecture</w:t>
      </w:r>
    </w:p>
    <w:p>
      <w:pPr>
        <w:spacing w:after="160" w:line="276"/>
        <w:jc w:val="both"/>
      </w:pPr>
      <w:r>
        <w:rPr>
          <w:rFonts w:ascii="Calibri" w:cs="Calibri" w:eastAsia="Calibri" w:hAnsi="Calibri"/>
          <w:sz w:val="21"/>
          <w:szCs w:val="21"/>
        </w:rPr>
        <w:t xml:space="preserve">The deployment architecture is organized into four logical stages, designed to support both the current batch-oriented dataset and a future transition to streaming plant telemetry without a fundamental redesign.</w:t>
      </w:r>
    </w:p>
    <w:p>
      <w:pPr>
        <w:pStyle w:val="ListParagraph"/>
        <w:numPr>
          <w:ilvl w:val="0"/>
          <w:numId w:val="2"/>
        </w:numPr>
        <w:spacing w:after="90"/>
      </w:pPr>
      <w:r>
        <w:rPr>
          <w:rFonts w:ascii="Calibri" w:cs="Calibri" w:eastAsia="Calibri" w:hAnsi="Calibri"/>
          <w:b/>
          <w:bCs/>
          <w:sz w:val="21"/>
          <w:szCs w:val="21"/>
        </w:rPr>
        <w:t xml:space="preserve">1. Data Ingestion Layer: </w:t>
      </w:r>
      <w:r>
        <w:rPr>
          <w:rFonts w:ascii="Calibri" w:cs="Calibri" w:eastAsia="Calibri" w:hAnsi="Calibri"/>
          <w:sz w:val="21"/>
          <w:szCs w:val="21"/>
        </w:rPr>
        <w:t xml:space="preserve">accepts sensor readings from plant historian exports or, in the streaming roadmap, directly from PLC/SCADA-connected IoT gateways; performs schema validation and initial quality checks before handoff.</w:t>
      </w:r>
    </w:p>
    <w:p>
      <w:pPr>
        <w:pStyle w:val="ListParagraph"/>
        <w:numPr>
          <w:ilvl w:val="0"/>
          <w:numId w:val="2"/>
        </w:numPr>
        <w:spacing w:after="90"/>
      </w:pPr>
      <w:r>
        <w:rPr>
          <w:rFonts w:ascii="Calibri" w:cs="Calibri" w:eastAsia="Calibri" w:hAnsi="Calibri"/>
          <w:b/>
          <w:bCs/>
          <w:sz w:val="21"/>
          <w:szCs w:val="21"/>
        </w:rPr>
        <w:t xml:space="preserve">2. Feature &amp; Preprocessing Layer: </w:t>
      </w:r>
      <w:r>
        <w:rPr>
          <w:rFonts w:ascii="Calibri" w:cs="Calibri" w:eastAsia="Calibri" w:hAnsi="Calibri"/>
          <w:sz w:val="21"/>
          <w:szCs w:val="21"/>
        </w:rPr>
        <w:t xml:space="preserve">applies the fitted encoders, scalers, and engineered-feature transformations from Section 5 consistently between training and inference, packaged as a versioned pipeline artifact to prevent train/serve skew.</w:t>
      </w:r>
    </w:p>
    <w:p>
      <w:pPr>
        <w:pStyle w:val="ListParagraph"/>
        <w:numPr>
          <w:ilvl w:val="0"/>
          <w:numId w:val="2"/>
        </w:numPr>
        <w:spacing w:after="90"/>
      </w:pPr>
      <w:r>
        <w:rPr>
          <w:rFonts w:ascii="Calibri" w:cs="Calibri" w:eastAsia="Calibri" w:hAnsi="Calibri"/>
          <w:b/>
          <w:bCs/>
          <w:sz w:val="21"/>
          <w:szCs w:val="21"/>
        </w:rPr>
        <w:t xml:space="preserve">3. Model Inference Engine: </w:t>
      </w:r>
      <w:r>
        <w:rPr>
          <w:rFonts w:ascii="Calibri" w:cs="Calibri" w:eastAsia="Calibri" w:hAnsi="Calibri"/>
          <w:sz w:val="21"/>
          <w:szCs w:val="21"/>
        </w:rPr>
        <w:t xml:space="preserve">hosts the selected champion model (Section 6) behind a REST API, returning both the binary failure probability and the multi-label failure-mode breakdown per request.</w:t>
      </w:r>
    </w:p>
    <w:p>
      <w:pPr>
        <w:pStyle w:val="ListParagraph"/>
        <w:numPr>
          <w:ilvl w:val="0"/>
          <w:numId w:val="2"/>
        </w:numPr>
        <w:spacing w:after="90"/>
      </w:pPr>
      <w:r>
        <w:rPr>
          <w:rFonts w:ascii="Calibri" w:cs="Calibri" w:eastAsia="Calibri" w:hAnsi="Calibri"/>
          <w:b/>
          <w:bCs/>
          <w:sz w:val="21"/>
          <w:szCs w:val="21"/>
        </w:rPr>
        <w:t xml:space="preserve">4. Alert System / Dashboard Layer: </w:t>
      </w:r>
      <w:r>
        <w:rPr>
          <w:rFonts w:ascii="Calibri" w:cs="Calibri" w:eastAsia="Calibri" w:hAnsi="Calibri"/>
          <w:sz w:val="21"/>
          <w:szCs w:val="21"/>
        </w:rPr>
        <w:t xml:space="preserve">surfaces risk scores and failure-mode attributions to maintenance engineers via a live dashboard, with configurable threshold-based alerting routed to the maintenance work-order system.</w:t>
      </w:r>
    </w:p>
    <w:p>
      <w:pPr>
        <w:pStyle w:val="Heading2"/>
        <w:spacing w:after="150" w:before="300"/>
      </w:pPr>
      <w:r>
        <w:rPr>
          <w:rFonts w:ascii="Calibri" w:cs="Calibri" w:eastAsia="Calibri" w:hAnsi="Calibri"/>
          <w:b/>
          <w:bCs/>
          <w:color w:val="2E5395"/>
          <w:sz w:val="25"/>
          <w:szCs w:val="25"/>
        </w:rPr>
        <w:t xml:space="preserve">7.2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Layer</w:t>
            </w:r>
          </w:p>
        </w:tc>
        <w:tc>
          <w:tcPr>
            <w:tcW w:type="dxa" w:w="63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Technology</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Modeling &amp; Experimentation</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Python, Scikit-Learn, XGBoost, LightGBM, imbalanced-learn (SMOTE)</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Inference API</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Flask or FastAPI, served behind Gunicorn/Uvicorn</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Dashboard / Front End</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Streamlit (rapid internal tooling) or React (production operator UI)</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Containerization</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Docker, with a multi-stage build separating training and serving images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Orchestration &amp; Hosting</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Kubernetes on IBM Cloud (or equivalent managed Kubernetes service)</w:t>
            </w:r>
          </w:p>
        </w:tc>
      </w:tr>
      <w:tr>
        <w:tc>
          <w:tcPr>
            <w:tcW w:type="dxa" w:w="3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Model &amp; Pipeline Registry</w:t>
            </w:r>
          </w:p>
        </w:tc>
        <w:tc>
          <w:tcPr>
            <w:tcW w:type="dxa" w:w="63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Versioned artifact store for model binaries and preprocessing pipeline objects</w:t>
            </w:r>
          </w:p>
        </w:tc>
      </w:tr>
      <w:tr>
        <w:tc>
          <w:tcPr>
            <w:tcW w:type="dxa" w:w="3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Monitoring</w:t>
            </w:r>
          </w:p>
        </w:tc>
        <w:tc>
          <w:tcPr>
            <w:tcW w:type="dxa" w:w="63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Data-drift and prediction-drift monitoring, latency/throughput dashboards, model performance decay alerts</w:t>
            </w:r>
          </w:p>
        </w:tc>
      </w:tr>
    </w:tbl>
    <w:p>
      <w:pPr>
        <w:pStyle w:val="Heading2"/>
        <w:spacing w:after="150" w:before="300"/>
      </w:pPr>
      <w:r>
        <w:rPr>
          <w:rFonts w:ascii="Calibri" w:cs="Calibri" w:eastAsia="Calibri" w:hAnsi="Calibri"/>
          <w:b/>
          <w:bCs/>
          <w:color w:val="2E5395"/>
          <w:sz w:val="25"/>
          <w:szCs w:val="25"/>
        </w:rPr>
        <w:t xml:space="preserve">7.3 Deployment Flow Summary</w:t>
      </w:r>
    </w:p>
    <w:p>
      <w:pPr>
        <w:spacing w:after="160" w:line="276"/>
        <w:jc w:val="both"/>
      </w:pPr>
      <w:r>
        <w:rPr>
          <w:rFonts w:ascii="Calibri" w:cs="Calibri" w:eastAsia="Calibri" w:hAnsi="Calibri"/>
          <w:sz w:val="21"/>
          <w:szCs w:val="21"/>
        </w:rPr>
        <w:t xml:space="preserve">Data Ingestion → Feature &amp; Preprocessing Pipeline → Model Inference Engine → Alert System / Dashboard, with a parallel Monitoring &amp; Feedback path that routes prediction outcomes and ground-truth maintenance findings back into the training data store to support scheduled model retraining.</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8. Business ROI &amp; Impact Analysis</w:t>
      </w:r>
    </w:p>
    <w:p>
      <w:pPr>
        <w:pStyle w:val="Heading2"/>
        <w:spacing w:after="150" w:before="300"/>
      </w:pPr>
      <w:r>
        <w:rPr>
          <w:rFonts w:ascii="Calibri" w:cs="Calibri" w:eastAsia="Calibri" w:hAnsi="Calibri"/>
          <w:b/>
          <w:bCs/>
          <w:color w:val="2E5395"/>
          <w:sz w:val="25"/>
          <w:szCs w:val="25"/>
        </w:rPr>
        <w:t xml:space="preserve">8.1 Cost-Benefit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00"/>
      </w:tblGrid>
      <w:tr>
        <w:trPr>
          <w:tblHeader/>
        </w:trPr>
        <w:tc>
          <w:tcPr>
            <w:tcW w:type="dxa" w:w="20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Outcome</w:t>
            </w:r>
          </w:p>
        </w:tc>
        <w:tc>
          <w:tcPr>
            <w:tcW w:type="dxa" w:w="4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Description</w:t>
            </w:r>
          </w:p>
        </w:tc>
        <w:tc>
          <w:tcPr>
            <w:tcW w:type="dxa" w:w="29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Relative Cost Impact</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True Positive</w:t>
            </w:r>
          </w:p>
        </w:tc>
        <w:tc>
          <w:tcPr>
            <w:tcW w:type="dxa" w:w="4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Failure correctly predicted; maintenance dispatched proactively</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 — planned labor and parts cost only</w:t>
            </w:r>
          </w:p>
        </w:tc>
      </w:tr>
      <w:tr>
        <w:tc>
          <w:tcPr>
            <w:tcW w:type="dxa" w:w="2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False Positive</w:t>
            </w:r>
          </w:p>
        </w:tc>
        <w:tc>
          <w:tcPr>
            <w:tcW w:type="dxa" w:w="4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Failure predicted but did not occur; unnecessary inspection performed</w:t>
            </w:r>
          </w:p>
        </w:tc>
        <w:tc>
          <w:tcPr>
            <w:tcW w:type="dxa" w:w="2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Moderate — wasted inspection labor, minor production interruption, alert-fatigue risk</w:t>
            </w:r>
          </w:p>
        </w:tc>
      </w:tr>
      <w:tr>
        <w:tc>
          <w:tcPr>
            <w:tcW w:type="dxa" w:w="20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False Negative</w:t>
            </w:r>
          </w:p>
        </w:tc>
        <w:tc>
          <w:tcPr>
            <w:tcW w:type="dxa" w:w="4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Failure occurred without prediction; reactive/emergency response required</w:t>
            </w:r>
          </w:p>
        </w:tc>
        <w:tc>
          <w:tcPr>
            <w:tcW w:type="dxa" w:w="29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Highest — unplanned downtime, expedited parts, potential secondary equipment damage, safety exposure</w:t>
            </w:r>
          </w:p>
        </w:tc>
      </w:tr>
      <w:tr>
        <w:tc>
          <w:tcPr>
            <w:tcW w:type="dxa" w:w="20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True Negative</w:t>
            </w:r>
          </w:p>
        </w:tc>
        <w:tc>
          <w:tcPr>
            <w:tcW w:type="dxa" w:w="4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 failure predicted, none occurred</w:t>
            </w:r>
          </w:p>
        </w:tc>
        <w:tc>
          <w:tcPr>
            <w:tcW w:type="dxa" w:w="29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None — baseline operating cost</w:t>
            </w:r>
          </w:p>
        </w:tc>
      </w:tr>
    </w:tbl>
    <w:p>
      <w:pPr>
        <w:spacing w:after="120"/>
      </w:pPr>
    </w:p>
    <w:p>
      <w:pPr>
        <w:spacing w:after="160" w:line="276"/>
        <w:jc w:val="both"/>
      </w:pPr>
      <w:r>
        <w:rPr>
          <w:rFonts w:ascii="Calibri" w:cs="Calibri" w:eastAsia="Calibri" w:hAnsi="Calibri"/>
          <w:sz w:val="21"/>
          <w:szCs w:val="21"/>
        </w:rPr>
        <w:t xml:space="preserve">This asymmetry — where a False Negative is materially more costly than a False Positive — is the direct justification for the recall-prioritized evaluation methodology defined in Section 6.3 and for threshold calibration that deliberately accepts a higher false-positive rate in exchange for minimizing missed failures.</w:t>
      </w:r>
    </w:p>
    <w:p>
      <w:pPr>
        <w:pStyle w:val="Heading2"/>
        <w:spacing w:after="150" w:before="300"/>
      </w:pPr>
      <w:r>
        <w:rPr>
          <w:rFonts w:ascii="Calibri" w:cs="Calibri" w:eastAsia="Calibri" w:hAnsi="Calibri"/>
          <w:b/>
          <w:bCs/>
          <w:color w:val="2E5395"/>
          <w:sz w:val="25"/>
          <w:szCs w:val="25"/>
        </w:rPr>
        <w:t xml:space="preserve">8.2 Projected Operational Impact</w:t>
      </w:r>
    </w:p>
    <w:p>
      <w:pPr>
        <w:spacing w:after="160" w:line="276"/>
        <w:jc w:val="both"/>
      </w:pPr>
      <w:r>
        <w:rPr>
          <w:rFonts w:ascii="Calibri" w:cs="Calibri" w:eastAsia="Calibri" w:hAnsi="Calibri"/>
          <w:sz w:val="21"/>
          <w:szCs w:val="21"/>
        </w:rPr>
        <w:t xml:space="preserve">Industry benchmarks for predictive maintenance programs commonly report unplanned-downtime reductions in the range of 20–40% and overall maintenance cost reductions in the range of 10–25% relative to purely preventive or reactive baselines, alongside measurable extensions in mean time between failures (MTBF) where tool and component replacement is aligned to actual wear rather than fixed schedules. This project's projected savings should be validated against site-specific downtime cost, labor rate, and parts-cost data during the pilot phase, and the figures above should be treated as directional planning ranges rather than guaranteed outcomes for any specific facility.</w:t>
      </w:r>
    </w:p>
    <w:p>
      <w:pPr>
        <w:pStyle w:val="ListParagraph"/>
        <w:numPr>
          <w:ilvl w:val="0"/>
          <w:numId w:val="2"/>
        </w:numPr>
        <w:spacing w:after="90"/>
      </w:pPr>
      <w:r>
        <w:rPr>
          <w:rFonts w:ascii="Calibri" w:cs="Calibri" w:eastAsia="Calibri" w:hAnsi="Calibri"/>
          <w:b/>
          <w:bCs/>
          <w:sz w:val="21"/>
          <w:szCs w:val="21"/>
        </w:rPr>
        <w:t xml:space="preserve">Downtime reduction: </w:t>
      </w:r>
      <w:r>
        <w:rPr>
          <w:rFonts w:ascii="Calibri" w:cs="Calibri" w:eastAsia="Calibri" w:hAnsi="Calibri"/>
          <w:sz w:val="21"/>
          <w:szCs w:val="21"/>
        </w:rPr>
        <w:t xml:space="preserve">directional target range of 20–40% reduction in unplanned stoppage hours attributable to the five modeled failure types.</w:t>
      </w:r>
    </w:p>
    <w:p>
      <w:pPr>
        <w:pStyle w:val="ListParagraph"/>
        <w:numPr>
          <w:ilvl w:val="0"/>
          <w:numId w:val="2"/>
        </w:numPr>
        <w:spacing w:after="90"/>
      </w:pPr>
      <w:r>
        <w:rPr>
          <w:rFonts w:ascii="Calibri" w:cs="Calibri" w:eastAsia="Calibri" w:hAnsi="Calibri"/>
          <w:b/>
          <w:bCs/>
          <w:sz w:val="21"/>
          <w:szCs w:val="21"/>
        </w:rPr>
        <w:t xml:space="preserve">Maintenance cost efficiency: </w:t>
      </w:r>
      <w:r>
        <w:rPr>
          <w:rFonts w:ascii="Calibri" w:cs="Calibri" w:eastAsia="Calibri" w:hAnsi="Calibri"/>
          <w:sz w:val="21"/>
          <w:szCs w:val="21"/>
        </w:rPr>
        <w:t xml:space="preserve">directional target range of 10–25% reduction in total maintenance spend through reduced emergency labor and better-timed component replacement.</w:t>
      </w:r>
    </w:p>
    <w:p>
      <w:pPr>
        <w:pStyle w:val="ListParagraph"/>
        <w:numPr>
          <w:ilvl w:val="0"/>
          <w:numId w:val="2"/>
        </w:numPr>
        <w:spacing w:after="90"/>
      </w:pPr>
      <w:r>
        <w:rPr>
          <w:rFonts w:ascii="Calibri" w:cs="Calibri" w:eastAsia="Calibri" w:hAnsi="Calibri"/>
          <w:b/>
          <w:bCs/>
          <w:sz w:val="21"/>
          <w:szCs w:val="21"/>
        </w:rPr>
        <w:t xml:space="preserve">Alert precision: </w:t>
      </w:r>
      <w:r>
        <w:rPr>
          <w:rFonts w:ascii="Calibri" w:cs="Calibri" w:eastAsia="Calibri" w:hAnsi="Calibri"/>
          <w:sz w:val="21"/>
          <w:szCs w:val="21"/>
        </w:rPr>
        <w:t xml:space="preserve">continuous reduction in false-positive rate over successive retraining cycles as threshold calibration and feature engineering mature.</w:t>
      </w:r>
    </w:p>
    <w:p>
      <w:pPr>
        <w:spacing w:after="160" w:line="276"/>
        <w:jc w:val="both"/>
      </w:pPr>
      <w:r>
        <w:rPr>
          <w:rFonts w:ascii="Calibri" w:cs="Calibri" w:eastAsia="Calibri" w:hAnsi="Calibri"/>
          <w:sz w:val="21"/>
          <w:szCs w:val="21"/>
        </w:rPr>
        <w:t xml:space="preserve">All figures above are illustrative planning ranges drawn from general predictive-maintenance industry benchmarks rather than measurements from this specific dataset or deployment, and should be re-derived from pilot-phase production data before being used in a formal business case.</w:t>
      </w:r>
    </w:p>
    <w:p>
      <w:r>
        <w:br w:type="page"/>
      </w:r>
    </w:p>
    <w:p>
      <w:pPr>
        <w:pStyle w:val="Heading1"/>
        <w:pBdr>
          <w:bottom w:val="single" w:color="1F3864" w:sz="8" w:space="4"/>
        </w:pBdr>
        <w:spacing w:after="200" w:before="400"/>
      </w:pPr>
      <w:r>
        <w:rPr>
          <w:rFonts w:ascii="Calibri" w:cs="Calibri" w:eastAsia="Calibri" w:hAnsi="Calibri"/>
          <w:b/>
          <w:bCs/>
          <w:color w:val="1F3864"/>
          <w:sz w:val="30"/>
          <w:szCs w:val="30"/>
        </w:rPr>
        <w:t xml:space="preserve">9. Conclusion, Risks &amp; Future Enhancements</w:t>
      </w:r>
    </w:p>
    <w:p>
      <w:pPr>
        <w:pStyle w:val="Heading2"/>
        <w:spacing w:after="150" w:before="300"/>
      </w:pPr>
      <w:r>
        <w:rPr>
          <w:rFonts w:ascii="Calibri" w:cs="Calibri" w:eastAsia="Calibri" w:hAnsi="Calibri"/>
          <w:b/>
          <w:bCs/>
          <w:color w:val="2E5395"/>
          <w:sz w:val="25"/>
          <w:szCs w:val="25"/>
        </w:rPr>
        <w:t xml:space="preserve">9.1 Project Summary</w:t>
      </w:r>
    </w:p>
    <w:p>
      <w:pPr>
        <w:spacing w:after="160" w:line="276"/>
        <w:jc w:val="both"/>
      </w:pPr>
      <w:r>
        <w:rPr>
          <w:rFonts w:ascii="Calibri" w:cs="Calibri" w:eastAsia="Calibri" w:hAnsi="Calibri"/>
          <w:sz w:val="21"/>
          <w:szCs w:val="21"/>
        </w:rPr>
        <w:t xml:space="preserve">The Industrial Equipment Failure &amp; Maintenance Profiler establishes a complete, governable pipeline from raw sensor telemetry to actionable, failure-mode-specific maintenance guidance. By combining domain-informed feature engineering (ΔT, Power, Tool Strain Index) with imbalance-aware modeling and a recall-prioritized evaluation methodology, the solution is designed to materially reduce the incidence of unplanned, reactive maintenance events while avoiding the alert fatigue that undermines less carefully calibrated predictive maintenance deployments.</w:t>
      </w:r>
    </w:p>
    <w:p>
      <w:pPr>
        <w:pStyle w:val="Heading2"/>
        <w:spacing w:after="150" w:before="300"/>
      </w:pPr>
      <w:r>
        <w:rPr>
          <w:rFonts w:ascii="Calibri" w:cs="Calibri" w:eastAsia="Calibri" w:hAnsi="Calibri"/>
          <w:b/>
          <w:bCs/>
          <w:color w:val="2E5395"/>
          <w:sz w:val="25"/>
          <w:szCs w:val="25"/>
        </w:rPr>
        <w:t xml:space="preserve">9.2 Risk Matrix</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400"/>
        <w:gridCol w:w="3200"/>
      </w:tblGrid>
      <w:tr>
        <w:trPr>
          <w:tblHeader/>
        </w:trPr>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Risk</w:t>
            </w:r>
          </w:p>
        </w:tc>
        <w:tc>
          <w:tcPr>
            <w:tcW w:type="dxa" w:w="15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Likelihood</w:t>
            </w:r>
          </w:p>
        </w:tc>
        <w:tc>
          <w:tcPr>
            <w:tcW w:type="dxa" w:w="14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Impact</w:t>
            </w:r>
          </w:p>
        </w:tc>
        <w:tc>
          <w:tcPr>
            <w:tcW w:type="dxa" w:w="3200"/>
            <w:shd w:fill="1F3864"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Mitigation</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Sensor drift / miscalibration in production telemetry</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Automated data-quality checks at ingestion; scheduled sensor calibration audits; drift-detection monitoring</w:t>
            </w:r>
          </w:p>
        </w:tc>
      </w:tr>
      <w:t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Latent or unmodeled failure modes (beyond TWF/HDF/PWF/OSF/RNF)</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1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Periodic root-cause review of missed failures; RNF-flagged and unclassified events routed to engineering review</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Model performance decay over time (concept drift)</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Scheduled retraining cadence; production performance monitoring against the recall/F1 thresholds in Section 6.3</w:t>
            </w:r>
          </w:p>
        </w:tc>
      </w:tr>
      <w:t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Alert fatigue from residual false positives</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1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Threshold recalibration informed by maintenance-team feedback loop; precision monitoring per Section 8.1</w:t>
            </w:r>
          </w:p>
        </w:tc>
      </w:tr>
      <w:tr>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Synthetic-to-real data distribution gap (AI4I dataset vs. live plant data)</w:t>
            </w:r>
          </w:p>
        </w:tc>
        <w:tc>
          <w:tcPr>
            <w:tcW w:type="dxa" w:w="15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 (pre-pilot)</w:t>
            </w:r>
          </w:p>
        </w:tc>
        <w:tc>
          <w:tcPr>
            <w:tcW w:type="dxa" w:w="14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High</w:t>
            </w:r>
          </w:p>
        </w:tc>
        <w:tc>
          <w:tcPr>
            <w:tcW w:type="dxa" w:w="3200"/>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Mandatory pilot validation phase against site-specific historian data before full production rollout</w:t>
            </w:r>
          </w:p>
        </w:tc>
      </w:tr>
      <w:tr>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Data governance / labeling consistency for retraining data</w:t>
            </w:r>
          </w:p>
        </w:tc>
        <w:tc>
          <w:tcPr>
            <w:tcW w:type="dxa" w:w="15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Low-Medium</w:t>
            </w:r>
          </w:p>
        </w:tc>
        <w:tc>
          <w:tcPr>
            <w:tcW w:type="dxa" w:w="14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Medium</w:t>
            </w:r>
          </w:p>
        </w:tc>
        <w:tc>
          <w:tcPr>
            <w:tcW w:type="dxa" w:w="3200"/>
            <w:shd w:fill="F2F2F2" w:val="clear"/>
            <w:tcMar>
              <w:top w:type="dxa" w:w="80"/>
              <w:left w:type="dxa" w:w="120"/>
              <w:bottom w:type="dxa" w:w="80"/>
              <w:right w:type="dxa" w:w="120"/>
            </w:tcMar>
            <w:vAlign w:val="center"/>
          </w:tcPr>
          <w:p>
            <w:pPr>
              <w:jc w:val="left"/>
            </w:pPr>
            <w:r>
              <w:rPr>
                <w:rFonts w:ascii="Calibri" w:cs="Calibri" w:eastAsia="Calibri" w:hAnsi="Calibri"/>
                <w:b w:val="false"/>
                <w:bCs w:val="false"/>
                <w:color w:val="000000"/>
                <w:sz w:val="19"/>
                <w:szCs w:val="19"/>
              </w:rPr>
              <w:t xml:space="preserve">Standardized maintenance work-order feedback schema feeding the retraining data store</w:t>
            </w:r>
          </w:p>
        </w:tc>
      </w:tr>
    </w:tbl>
    <w:p>
      <w:pPr>
        <w:pStyle w:val="Heading2"/>
        <w:spacing w:after="150" w:before="300"/>
      </w:pPr>
      <w:r>
        <w:rPr>
          <w:rFonts w:ascii="Calibri" w:cs="Calibri" w:eastAsia="Calibri" w:hAnsi="Calibri"/>
          <w:b/>
          <w:bCs/>
          <w:color w:val="2E5395"/>
          <w:sz w:val="25"/>
          <w:szCs w:val="25"/>
        </w:rPr>
        <w:t xml:space="preserve">9.3 Future Enhancements</w:t>
      </w:r>
    </w:p>
    <w:p>
      <w:pPr>
        <w:pStyle w:val="ListParagraph"/>
        <w:numPr>
          <w:ilvl w:val="0"/>
          <w:numId w:val="2"/>
        </w:numPr>
        <w:spacing w:after="90"/>
      </w:pPr>
      <w:r>
        <w:rPr>
          <w:rFonts w:ascii="Calibri" w:cs="Calibri" w:eastAsia="Calibri" w:hAnsi="Calibri"/>
          <w:b/>
          <w:bCs/>
          <w:sz w:val="21"/>
          <w:szCs w:val="21"/>
        </w:rPr>
        <w:t xml:space="preserve">Real-time IoT streaming: </w:t>
      </w:r>
      <w:r>
        <w:rPr>
          <w:rFonts w:ascii="Calibri" w:cs="Calibri" w:eastAsia="Calibri" w:hAnsi="Calibri"/>
          <w:sz w:val="21"/>
          <w:szCs w:val="21"/>
        </w:rPr>
        <w:t xml:space="preserve">integration via MQTT or Apache Kafka to move from batch-scored historian exports to continuous, low-latency streaming inference directly from plant sensors.</w:t>
      </w:r>
    </w:p>
    <w:p>
      <w:pPr>
        <w:pStyle w:val="ListParagraph"/>
        <w:numPr>
          <w:ilvl w:val="0"/>
          <w:numId w:val="2"/>
        </w:numPr>
        <w:spacing w:after="90"/>
      </w:pPr>
      <w:r>
        <w:rPr>
          <w:rFonts w:ascii="Calibri" w:cs="Calibri" w:eastAsia="Calibri" w:hAnsi="Calibri"/>
          <w:b/>
          <w:bCs/>
          <w:sz w:val="21"/>
          <w:szCs w:val="21"/>
        </w:rPr>
        <w:t xml:space="preserve">Deep learning time-series models: </w:t>
      </w:r>
      <w:r>
        <w:rPr>
          <w:rFonts w:ascii="Calibri" w:cs="Calibri" w:eastAsia="Calibri" w:hAnsi="Calibri"/>
          <w:sz w:val="21"/>
          <w:szCs w:val="21"/>
        </w:rPr>
        <w:t xml:space="preserve">evaluation of LSTM and Transformer-based architectures to model sequential degradation patterns and estimate Remaining Useful Life (RUL), rather than the current single-observation classification framing.</w:t>
      </w:r>
    </w:p>
    <w:p>
      <w:pPr>
        <w:pStyle w:val="ListParagraph"/>
        <w:numPr>
          <w:ilvl w:val="0"/>
          <w:numId w:val="2"/>
        </w:numPr>
        <w:spacing w:after="90"/>
      </w:pPr>
      <w:r>
        <w:rPr>
          <w:rFonts w:ascii="Calibri" w:cs="Calibri" w:eastAsia="Calibri" w:hAnsi="Calibri"/>
          <w:b/>
          <w:bCs/>
          <w:sz w:val="21"/>
          <w:szCs w:val="21"/>
        </w:rPr>
        <w:t xml:space="preserve">Explainability layer: </w:t>
      </w:r>
      <w:r>
        <w:rPr>
          <w:rFonts w:ascii="Calibri" w:cs="Calibri" w:eastAsia="Calibri" w:hAnsi="Calibri"/>
          <w:sz w:val="21"/>
          <w:szCs w:val="21"/>
        </w:rPr>
        <w:t xml:space="preserve">SHAP-based per-prediction explanations surfaced directly in the maintenance dashboard to further build operator trust and support the failure-mode-specific dispatch use case.</w:t>
      </w:r>
    </w:p>
    <w:p>
      <w:pPr>
        <w:pStyle w:val="ListParagraph"/>
        <w:numPr>
          <w:ilvl w:val="0"/>
          <w:numId w:val="2"/>
        </w:numPr>
        <w:spacing w:after="90"/>
      </w:pPr>
      <w:r>
        <w:rPr>
          <w:rFonts w:ascii="Calibri" w:cs="Calibri" w:eastAsia="Calibri" w:hAnsi="Calibri"/>
          <w:b/>
          <w:bCs/>
          <w:sz w:val="21"/>
          <w:szCs w:val="21"/>
        </w:rPr>
        <w:t xml:space="preserve">Multi-site generalization: </w:t>
      </w:r>
      <w:r>
        <w:rPr>
          <w:rFonts w:ascii="Calibri" w:cs="Calibri" w:eastAsia="Calibri" w:hAnsi="Calibri"/>
          <w:sz w:val="21"/>
          <w:szCs w:val="21"/>
        </w:rPr>
        <w:t xml:space="preserve">federated or transfer-learning approaches to adapt the champion model across multiple plants with differing equipment baselines without full retraining from scratch.</w:t>
      </w:r>
    </w:p>
    <w:p>
      <w:pPr>
        <w:pStyle w:val="ListParagraph"/>
        <w:numPr>
          <w:ilvl w:val="0"/>
          <w:numId w:val="2"/>
        </w:numPr>
        <w:spacing w:after="90"/>
      </w:pPr>
      <w:r>
        <w:rPr>
          <w:rFonts w:ascii="Calibri" w:cs="Calibri" w:eastAsia="Calibri" w:hAnsi="Calibri"/>
          <w:b/>
          <w:bCs/>
          <w:sz w:val="21"/>
          <w:szCs w:val="21"/>
        </w:rPr>
        <w:t xml:space="preserve">Closed-loop feedback integration: </w:t>
      </w:r>
      <w:r>
        <w:rPr>
          <w:rFonts w:ascii="Calibri" w:cs="Calibri" w:eastAsia="Calibri" w:hAnsi="Calibri"/>
          <w:sz w:val="21"/>
          <w:szCs w:val="21"/>
        </w:rPr>
        <w:t xml:space="preserve">automated ingestion of maintenance work-order outcomes to continuously enrich the labeled training dataset and shorten the retraining cycle.</w:t>
      </w:r>
    </w:p>
    <w:p>
      <w:pPr>
        <w:spacing w:after="300"/>
      </w:pPr>
    </w:p>
    <w:p>
      <w:pPr>
        <w:pBdr>
          <w:bottom w:val="single" w:color="BFBFBF" w:sz="6" w:space="1"/>
        </w:pBdr>
        <w:spacing w:after="200"/>
      </w:pPr>
    </w:p>
    <w:p>
      <w:pPr>
        <w:spacing w:before="200"/>
        <w:jc w:val="center"/>
      </w:pPr>
      <w:r>
        <w:rPr>
          <w:rFonts w:ascii="Calibri" w:cs="Calibri" w:eastAsia="Calibri" w:hAnsi="Calibri"/>
          <w:i/>
          <w:iCs/>
          <w:color w:val="595959"/>
          <w:sz w:val="18"/>
          <w:szCs w:val="18"/>
        </w:rPr>
        <w:t xml:space="preserve">End of Document — Industrial Equipment Failure &amp; Maintenance Profiler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Industrial Equipment Failure &amp; Maintenance Profiler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2026-08-10T13:05:22.779Z</dcterms:created>
  <dcterms:modified xsi:type="dcterms:W3CDTF">2026-08-10T13:05:22.780Z</dcterms:modified>
</cp:coreProperties>
</file>

<file path=docProps/custom.xml><?xml version="1.0" encoding="utf-8"?>
<Properties xmlns="http://schemas.openxmlformats.org/officeDocument/2006/custom-properties" xmlns:vt="http://schemas.openxmlformats.org/officeDocument/2006/docPropsVTypes"/>
</file>