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Repeated Use of an Arjuna Sap/Exudate Point by Birds and a Squirrel</w:t>
      </w:r>
    </w:p>
    <w:p>
      <w:pPr>
        <w:jc w:val="center"/>
      </w:pPr>
      <w:r>
        <w:rPr>
          <w:i/>
          <w:sz w:val="20"/>
        </w:rPr>
        <w:t>Mukundara Hills Tiger Reserve, Rajasthan | Field Note Draft for Review</w:t>
      </w:r>
    </w:p>
    <w:p/>
    <w:tbl>
      <w:tblPr>
        <w:tblStyle w:val="TableGrid"/>
        <w:tblW w:type="auto" w:w="0"/>
        <w:jc w:val="center"/>
        <w:tblLook w:firstColumn="1" w:firstRow="1" w:lastColumn="0" w:lastRow="0" w:noHBand="0" w:noVBand="1" w:val="04A0"/>
      </w:tblPr>
      <w:tblGrid>
        <w:gridCol w:w="5040"/>
        <w:gridCol w:w="5040"/>
      </w:tblGrid>
      <w:tr>
        <w:tc>
          <w:tcPr>
            <w:tcW w:type="dxa" w:w="5040"/>
            <w:vAlign w:val="top"/>
          </w:tcPr>
          <w:p>
            <w:r>
              <w:rPr>
                <w:rFonts w:ascii="Arial" w:hAnsi="Arial"/>
                <w:b/>
                <w:sz w:val="19"/>
              </w:rPr>
              <w:t>Observer</w:t>
            </w:r>
          </w:p>
        </w:tc>
        <w:tc>
          <w:tcPr>
            <w:tcW w:type="dxa" w:w="5040"/>
            <w:vAlign w:val="top"/>
          </w:tcPr>
          <w:p>
            <w:r>
              <w:rPr>
                <w:rFonts w:ascii="Arial" w:hAnsi="Arial"/>
                <w:sz w:val="19"/>
              </w:rPr>
              <w:t>Vinay Chittora</w:t>
            </w:r>
          </w:p>
        </w:tc>
      </w:tr>
      <w:tr>
        <w:tc>
          <w:tcPr>
            <w:tcW w:type="dxa" w:w="5040"/>
            <w:vAlign w:val="top"/>
          </w:tcPr>
          <w:p>
            <w:r>
              <w:rPr>
                <w:rFonts w:ascii="Arial" w:hAnsi="Arial"/>
                <w:b/>
                <w:sz w:val="19"/>
              </w:rPr>
              <w:t>Location</w:t>
            </w:r>
          </w:p>
        </w:tc>
        <w:tc>
          <w:tcPr>
            <w:tcW w:type="dxa" w:w="5040"/>
            <w:vAlign w:val="top"/>
          </w:tcPr>
          <w:p>
            <w:r>
              <w:rPr>
                <w:rFonts w:ascii="Arial" w:hAnsi="Arial"/>
                <w:sz w:val="19"/>
              </w:rPr>
              <w:t>Mukundara Hills Tiger Reserve, Rajasthan. Exact site intentionally withheld.</w:t>
            </w:r>
          </w:p>
        </w:tc>
      </w:tr>
      <w:tr>
        <w:tc>
          <w:tcPr>
            <w:tcW w:type="dxa" w:w="5040"/>
            <w:vAlign w:val="top"/>
          </w:tcPr>
          <w:p>
            <w:r>
              <w:rPr>
                <w:rFonts w:ascii="Arial" w:hAnsi="Arial"/>
                <w:b/>
                <w:sz w:val="19"/>
              </w:rPr>
              <w:t>Observation period</w:t>
            </w:r>
          </w:p>
        </w:tc>
        <w:tc>
          <w:tcPr>
            <w:tcW w:type="dxa" w:w="5040"/>
            <w:vAlign w:val="top"/>
          </w:tcPr>
          <w:p>
            <w:r>
              <w:rPr>
                <w:rFonts w:ascii="Arial" w:hAnsi="Arial"/>
                <w:sz w:val="19"/>
              </w:rPr>
              <w:t>May 2026; repeated observations over approximately 21 days.</w:t>
            </w:r>
          </w:p>
        </w:tc>
      </w:tr>
      <w:tr>
        <w:tc>
          <w:tcPr>
            <w:tcW w:type="dxa" w:w="5040"/>
            <w:vAlign w:val="top"/>
          </w:tcPr>
          <w:p>
            <w:r>
              <w:rPr>
                <w:rFonts w:ascii="Arial" w:hAnsi="Arial"/>
                <w:b/>
                <w:sz w:val="19"/>
              </w:rPr>
              <w:t>Observation window</w:t>
            </w:r>
          </w:p>
        </w:tc>
        <w:tc>
          <w:tcPr>
            <w:tcW w:type="dxa" w:w="5040"/>
            <w:vAlign w:val="top"/>
          </w:tcPr>
          <w:p>
            <w:r>
              <w:rPr>
                <w:rFonts w:ascii="Arial" w:hAnsi="Arial"/>
                <w:sz w:val="19"/>
              </w:rPr>
              <w:t>Mostly between 08:00 and 11:00 hrs. Full-day activity was not recorded.</w:t>
            </w:r>
          </w:p>
        </w:tc>
      </w:tr>
      <w:tr>
        <w:tc>
          <w:tcPr>
            <w:tcW w:type="dxa" w:w="5040"/>
            <w:vAlign w:val="top"/>
          </w:tcPr>
          <w:p>
            <w:r>
              <w:rPr>
                <w:rFonts w:ascii="Arial" w:hAnsi="Arial"/>
                <w:b/>
                <w:sz w:val="19"/>
              </w:rPr>
              <w:t>Tree/resource</w:t>
            </w:r>
          </w:p>
        </w:tc>
        <w:tc>
          <w:tcPr>
            <w:tcW w:type="dxa" w:w="5040"/>
            <w:vAlign w:val="top"/>
          </w:tcPr>
          <w:p>
            <w:r>
              <w:rPr>
                <w:rFonts w:ascii="Arial" w:hAnsi="Arial"/>
                <w:sz w:val="19"/>
              </w:rPr>
              <w:t>Arjuna tree (Terminalia arjuna), same sap/exudate point on the bark.</w:t>
            </w:r>
          </w:p>
        </w:tc>
      </w:tr>
      <w:tr>
        <w:tc>
          <w:tcPr>
            <w:tcW w:type="dxa" w:w="5040"/>
            <w:vAlign w:val="top"/>
          </w:tcPr>
          <w:p>
            <w:r>
              <w:rPr>
                <w:rFonts w:ascii="Arial" w:hAnsi="Arial"/>
                <w:b/>
                <w:sz w:val="19"/>
              </w:rPr>
              <w:t>Evidence</w:t>
            </w:r>
          </w:p>
        </w:tc>
        <w:tc>
          <w:tcPr>
            <w:tcW w:type="dxa" w:w="5040"/>
            <w:vAlign w:val="top"/>
          </w:tcPr>
          <w:p>
            <w:r>
              <w:rPr>
                <w:rFonts w:ascii="Arial" w:hAnsi="Arial"/>
                <w:sz w:val="19"/>
              </w:rPr>
              <w:t>Video evidence collected; selected footage and screenshots to be added separately.</w:t>
            </w:r>
          </w:p>
        </w:tc>
      </w:tr>
    </w:tbl>
    <w:p>
      <w:r>
        <w:rPr>
          <w:b/>
        </w:rPr>
        <w:t xml:space="preserve">Note on terminology: </w:t>
      </w:r>
      <w:r>
        <w:t>The liquid is described here as sap/exudate because its chemical composition has not been tested. The behavioural observation is strong; the nutritional interpretation remains a working hypothesis.</w:t>
      </w:r>
    </w:p>
    <w:p>
      <w:pPr>
        <w:pStyle w:val="Heading1"/>
      </w:pPr>
      <w:r>
        <w:t>Summary</w:t>
      </w:r>
    </w:p>
    <w:p>
      <w:r>
        <w:t>During May 2026, multiple bird species and one squirrel species were repeatedly observed using a sap/exudate point on an Arjuna tree (Terminalia arjuna) inside Mukundara Hills Tiger Reserve, Rajasthan. The exact location is intentionally withheld to avoid disturbance.</w:t>
      </w:r>
    </w:p>
    <w:p>
      <w:r>
        <w:t>Seven taxa were recorded using the same point or directly interacting with it: Brown-capped Pygmy Woodpecker, Cinereous Tit/Asian Tit, Indian White-eye, Common Tailorbird, Black-rumped/Lesser Flameback, a second flameback-type woodpecker currently requiring confirmation from footage, and Five-striped Palm Squirrel. The repeated use of the same point suggests that this Arjuna wound/hole functioned as a small but valuable summer resource.</w:t>
      </w:r>
    </w:p>
    <w:p>
      <w:r>
        <w:t>The most notable behavioural sequence involved a Brown-capped Pygmy Woodpecker waiting near the point for several minutes before a larger flameback woodpecker arrived. The flameback displaced the pygmy woodpecker and appeared to feed from or work the same hole. After this, smaller birds repeatedly visited the point. This raises the possibility that the larger woodpecker opened, deepened, or refreshed the sap flow, while other species used the resource opportunistically.</w:t>
      </w:r>
    </w:p>
    <w:p>
      <w:pPr>
        <w:pStyle w:val="Heading1"/>
      </w:pPr>
      <w:r>
        <w:t>Observation Context</w:t>
      </w:r>
    </w:p>
    <w:p>
      <w:r>
        <w:t>The observations were made during peak summer conditions in May, mostly between 08:00 and 11:00 hrs. The observer could not spend the full day at the site, so activity outside this window remains unknown. There is a fair possibility that additional species may use the same point at other times of day.</w:t>
      </w:r>
    </w:p>
    <w:p>
      <w:r>
        <w:t>Similar sap/exudate use from specific trees, especially Arjuna and Banyan, has been noticed in the same broader landscape during previous summers. However, this was the first time repeated use by several species was documented from the same point on a single Arjuna tree over multiple days.</w:t>
      </w:r>
    </w:p>
    <w:p>
      <w:r>
        <w:t>The behaviour appeared especially significant because the resource was not used casually. Birds returned repeatedly, and there were moments of displacement, waiting and quick turnover at the point. This suggests that the sap/exudate may have been valuable during the hot morning period.</w:t>
      </w:r>
    </w:p>
    <w:p>
      <w:pPr>
        <w:pStyle w:val="Heading1"/>
      </w:pPr>
      <w:r>
        <w:t>Taxa Recorded at the Arjuna Sap/Exudate Point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top"/>
          </w:tcPr>
          <w:p>
            <w:r>
              <w:rPr>
                <w:rFonts w:ascii="Arial" w:hAnsi="Arial"/>
                <w:b/>
                <w:sz w:val="17"/>
              </w:rPr>
              <w:t>#</w:t>
            </w:r>
          </w:p>
        </w:tc>
        <w:tc>
          <w:tcPr>
            <w:tcW w:type="dxa" w:w="2520"/>
            <w:vAlign w:val="top"/>
          </w:tcPr>
          <w:p>
            <w:r>
              <w:rPr>
                <w:rFonts w:ascii="Arial" w:hAnsi="Arial"/>
                <w:b/>
                <w:sz w:val="17"/>
              </w:rPr>
              <w:t>Taxon / common name</w:t>
            </w:r>
          </w:p>
        </w:tc>
        <w:tc>
          <w:tcPr>
            <w:tcW w:type="dxa" w:w="2520"/>
            <w:vAlign w:val="top"/>
          </w:tcPr>
          <w:p>
            <w:r>
              <w:rPr>
                <w:rFonts w:ascii="Arial" w:hAnsi="Arial"/>
                <w:b/>
                <w:sz w:val="17"/>
              </w:rPr>
              <w:t>Use of sap point</w:t>
            </w:r>
          </w:p>
        </w:tc>
        <w:tc>
          <w:tcPr>
            <w:tcW w:type="dxa" w:w="2520"/>
            <w:vAlign w:val="top"/>
          </w:tcPr>
          <w:p>
            <w:r>
              <w:rPr>
                <w:rFonts w:ascii="Arial" w:hAnsi="Arial"/>
                <w:b/>
                <w:sz w:val="17"/>
              </w:rPr>
              <w:t>Notes</w:t>
            </w:r>
          </w:p>
        </w:tc>
      </w:tr>
      <w:tr>
        <w:tc>
          <w:tcPr>
            <w:tcW w:type="dxa" w:w="2520"/>
            <w:vAlign w:val="top"/>
          </w:tcPr>
          <w:p>
            <w:r>
              <w:rPr>
                <w:rFonts w:ascii="Arial" w:hAnsi="Arial"/>
                <w:sz w:val="17"/>
              </w:rPr>
              <w:t>1</w:t>
            </w:r>
          </w:p>
        </w:tc>
        <w:tc>
          <w:tcPr>
            <w:tcW w:type="dxa" w:w="2520"/>
            <w:vAlign w:val="top"/>
          </w:tcPr>
          <w:p>
            <w:r>
              <w:rPr>
                <w:rFonts w:ascii="Arial" w:hAnsi="Arial"/>
                <w:sz w:val="17"/>
              </w:rPr>
              <w:t>Brown-capped Pygmy Woodpecker</w:t>
            </w:r>
          </w:p>
        </w:tc>
        <w:tc>
          <w:tcPr>
            <w:tcW w:type="dxa" w:w="2520"/>
            <w:vAlign w:val="top"/>
          </w:tcPr>
          <w:p>
            <w:r>
              <w:rPr>
                <w:rFonts w:ascii="Arial" w:hAnsi="Arial"/>
                <w:sz w:val="17"/>
              </w:rPr>
              <w:t>Repeated visits; waiting/inspection; later feeding from same point.</w:t>
            </w:r>
          </w:p>
        </w:tc>
        <w:tc>
          <w:tcPr>
            <w:tcW w:type="dxa" w:w="2520"/>
            <w:vAlign w:val="top"/>
          </w:tcPr>
          <w:p>
            <w:r>
              <w:rPr>
                <w:rFonts w:ascii="Arial" w:hAnsi="Arial"/>
                <w:sz w:val="17"/>
              </w:rPr>
              <w:t>Important behavioural subject; appeared to wait before flameback visit.</w:t>
            </w:r>
          </w:p>
        </w:tc>
      </w:tr>
      <w:tr>
        <w:tc>
          <w:tcPr>
            <w:tcW w:type="dxa" w:w="2520"/>
            <w:vAlign w:val="top"/>
          </w:tcPr>
          <w:p>
            <w:r>
              <w:rPr>
                <w:rFonts w:ascii="Arial" w:hAnsi="Arial"/>
                <w:sz w:val="17"/>
              </w:rPr>
              <w:t>2</w:t>
            </w:r>
          </w:p>
        </w:tc>
        <w:tc>
          <w:tcPr>
            <w:tcW w:type="dxa" w:w="2520"/>
            <w:vAlign w:val="top"/>
          </w:tcPr>
          <w:p>
            <w:r>
              <w:rPr>
                <w:rFonts w:ascii="Arial" w:hAnsi="Arial"/>
                <w:sz w:val="17"/>
              </w:rPr>
              <w:t>Cinereous Tit / Asian Tit</w:t>
            </w:r>
          </w:p>
        </w:tc>
        <w:tc>
          <w:tcPr>
            <w:tcW w:type="dxa" w:w="2520"/>
            <w:vAlign w:val="top"/>
          </w:tcPr>
          <w:p>
            <w:r>
              <w:rPr>
                <w:rFonts w:ascii="Arial" w:hAnsi="Arial"/>
                <w:sz w:val="17"/>
              </w:rPr>
              <w:t>Visited and used the same point.</w:t>
            </w:r>
          </w:p>
        </w:tc>
        <w:tc>
          <w:tcPr>
            <w:tcW w:type="dxa" w:w="2520"/>
            <w:vAlign w:val="top"/>
          </w:tcPr>
          <w:p>
            <w:r>
              <w:rPr>
                <w:rFonts w:ascii="Arial" w:hAnsi="Arial"/>
                <w:sz w:val="17"/>
              </w:rPr>
              <w:t>Observed among smaller opportunistic visitors.</w:t>
            </w:r>
          </w:p>
        </w:tc>
      </w:tr>
      <w:tr>
        <w:tc>
          <w:tcPr>
            <w:tcW w:type="dxa" w:w="2520"/>
            <w:vAlign w:val="top"/>
          </w:tcPr>
          <w:p>
            <w:r>
              <w:rPr>
                <w:rFonts w:ascii="Arial" w:hAnsi="Arial"/>
                <w:sz w:val="17"/>
              </w:rPr>
              <w:t>3</w:t>
            </w:r>
          </w:p>
        </w:tc>
        <w:tc>
          <w:tcPr>
            <w:tcW w:type="dxa" w:w="2520"/>
            <w:vAlign w:val="top"/>
          </w:tcPr>
          <w:p>
            <w:r>
              <w:rPr>
                <w:rFonts w:ascii="Arial" w:hAnsi="Arial"/>
                <w:sz w:val="17"/>
              </w:rPr>
              <w:t>Indian White-eye</w:t>
            </w:r>
          </w:p>
        </w:tc>
        <w:tc>
          <w:tcPr>
            <w:tcW w:type="dxa" w:w="2520"/>
            <w:vAlign w:val="top"/>
          </w:tcPr>
          <w:p>
            <w:r>
              <w:rPr>
                <w:rFonts w:ascii="Arial" w:hAnsi="Arial"/>
                <w:sz w:val="17"/>
              </w:rPr>
              <w:t>Visited and used the same point.</w:t>
            </w:r>
          </w:p>
        </w:tc>
        <w:tc>
          <w:tcPr>
            <w:tcW w:type="dxa" w:w="2520"/>
            <w:vAlign w:val="top"/>
          </w:tcPr>
          <w:p>
            <w:r>
              <w:rPr>
                <w:rFonts w:ascii="Arial" w:hAnsi="Arial"/>
                <w:sz w:val="17"/>
              </w:rPr>
              <w:t>Comparable to published sap-use records in Oriental White-eye.</w:t>
            </w:r>
          </w:p>
        </w:tc>
      </w:tr>
      <w:tr>
        <w:tc>
          <w:tcPr>
            <w:tcW w:type="dxa" w:w="2520"/>
            <w:vAlign w:val="top"/>
          </w:tcPr>
          <w:p>
            <w:r>
              <w:rPr>
                <w:rFonts w:ascii="Arial" w:hAnsi="Arial"/>
                <w:sz w:val="17"/>
              </w:rPr>
              <w:t>4</w:t>
            </w:r>
          </w:p>
        </w:tc>
        <w:tc>
          <w:tcPr>
            <w:tcW w:type="dxa" w:w="2520"/>
            <w:vAlign w:val="top"/>
          </w:tcPr>
          <w:p>
            <w:r>
              <w:rPr>
                <w:rFonts w:ascii="Arial" w:hAnsi="Arial"/>
                <w:sz w:val="17"/>
              </w:rPr>
              <w:t>Common Tailorbird</w:t>
            </w:r>
          </w:p>
        </w:tc>
        <w:tc>
          <w:tcPr>
            <w:tcW w:type="dxa" w:w="2520"/>
            <w:vAlign w:val="top"/>
          </w:tcPr>
          <w:p>
            <w:r>
              <w:rPr>
                <w:rFonts w:ascii="Arial" w:hAnsi="Arial"/>
                <w:sz w:val="17"/>
              </w:rPr>
              <w:t>Visited and used the same point.</w:t>
            </w:r>
          </w:p>
        </w:tc>
        <w:tc>
          <w:tcPr>
            <w:tcW w:type="dxa" w:w="2520"/>
            <w:vAlign w:val="top"/>
          </w:tcPr>
          <w:p>
            <w:r>
              <w:rPr>
                <w:rFonts w:ascii="Arial" w:hAnsi="Arial"/>
                <w:sz w:val="17"/>
              </w:rPr>
              <w:t>Small insectivorous passerine; record should be supported with clear video frame.</w:t>
            </w:r>
          </w:p>
        </w:tc>
      </w:tr>
      <w:tr>
        <w:tc>
          <w:tcPr>
            <w:tcW w:type="dxa" w:w="2520"/>
            <w:vAlign w:val="top"/>
          </w:tcPr>
          <w:p>
            <w:r>
              <w:rPr>
                <w:rFonts w:ascii="Arial" w:hAnsi="Arial"/>
                <w:sz w:val="17"/>
              </w:rPr>
              <w:t>5</w:t>
            </w:r>
          </w:p>
        </w:tc>
        <w:tc>
          <w:tcPr>
            <w:tcW w:type="dxa" w:w="2520"/>
            <w:vAlign w:val="top"/>
          </w:tcPr>
          <w:p>
            <w:r>
              <w:rPr>
                <w:rFonts w:ascii="Arial" w:hAnsi="Arial"/>
                <w:sz w:val="17"/>
              </w:rPr>
              <w:t>Black-rumped / Lesser Flameback</w:t>
            </w:r>
          </w:p>
        </w:tc>
        <w:tc>
          <w:tcPr>
            <w:tcW w:type="dxa" w:w="2520"/>
            <w:vAlign w:val="top"/>
          </w:tcPr>
          <w:p>
            <w:r>
              <w:rPr>
                <w:rFonts w:ascii="Arial" w:hAnsi="Arial"/>
                <w:sz w:val="17"/>
              </w:rPr>
              <w:t>Used/worked the hole; possibly opened or refreshed sap flow.</w:t>
            </w:r>
          </w:p>
        </w:tc>
        <w:tc>
          <w:tcPr>
            <w:tcW w:type="dxa" w:w="2520"/>
            <w:vAlign w:val="top"/>
          </w:tcPr>
          <w:p>
            <w:r>
              <w:rPr>
                <w:rFonts w:ascii="Arial" w:hAnsi="Arial"/>
                <w:sz w:val="17"/>
              </w:rPr>
              <w:t>Key candidate facilitator; exact ID to be confirmed from footage.</w:t>
            </w:r>
          </w:p>
        </w:tc>
      </w:tr>
      <w:tr>
        <w:tc>
          <w:tcPr>
            <w:tcW w:type="dxa" w:w="2520"/>
            <w:vAlign w:val="top"/>
          </w:tcPr>
          <w:p>
            <w:r>
              <w:rPr>
                <w:rFonts w:ascii="Arial" w:hAnsi="Arial"/>
                <w:sz w:val="17"/>
              </w:rPr>
              <w:t>6</w:t>
            </w:r>
          </w:p>
        </w:tc>
        <w:tc>
          <w:tcPr>
            <w:tcW w:type="dxa" w:w="2520"/>
            <w:vAlign w:val="top"/>
          </w:tcPr>
          <w:p>
            <w:r>
              <w:rPr>
                <w:rFonts w:ascii="Arial" w:hAnsi="Arial"/>
                <w:sz w:val="17"/>
              </w:rPr>
              <w:t>Second flameback-type woodpecker</w:t>
            </w:r>
          </w:p>
        </w:tc>
        <w:tc>
          <w:tcPr>
            <w:tcW w:type="dxa" w:w="2520"/>
            <w:vAlign w:val="top"/>
          </w:tcPr>
          <w:p>
            <w:r>
              <w:rPr>
                <w:rFonts w:ascii="Arial" w:hAnsi="Arial"/>
                <w:sz w:val="17"/>
              </w:rPr>
              <w:t>Used the same tree/sap point.</w:t>
            </w:r>
          </w:p>
        </w:tc>
        <w:tc>
          <w:tcPr>
            <w:tcW w:type="dxa" w:w="2520"/>
            <w:vAlign w:val="top"/>
          </w:tcPr>
          <w:p>
            <w:r>
              <w:rPr>
                <w:rFonts w:ascii="Arial" w:hAnsi="Arial"/>
                <w:sz w:val="17"/>
              </w:rPr>
              <w:t>Current note says white-rumped/flameback-type; ID should be reviewed before final publication.</w:t>
            </w:r>
          </w:p>
        </w:tc>
      </w:tr>
      <w:tr>
        <w:tc>
          <w:tcPr>
            <w:tcW w:type="dxa" w:w="2520"/>
            <w:vAlign w:val="top"/>
          </w:tcPr>
          <w:p>
            <w:r>
              <w:rPr>
                <w:rFonts w:ascii="Arial" w:hAnsi="Arial"/>
                <w:sz w:val="17"/>
              </w:rPr>
              <w:t>7</w:t>
            </w:r>
          </w:p>
        </w:tc>
        <w:tc>
          <w:tcPr>
            <w:tcW w:type="dxa" w:w="2520"/>
            <w:vAlign w:val="top"/>
          </w:tcPr>
          <w:p>
            <w:r>
              <w:rPr>
                <w:rFonts w:ascii="Arial" w:hAnsi="Arial"/>
                <w:sz w:val="17"/>
              </w:rPr>
              <w:t>Five-striped Palm Squirrel</w:t>
            </w:r>
          </w:p>
        </w:tc>
        <w:tc>
          <w:tcPr>
            <w:tcW w:type="dxa" w:w="2520"/>
            <w:vAlign w:val="top"/>
          </w:tcPr>
          <w:p>
            <w:r>
              <w:rPr>
                <w:rFonts w:ascii="Arial" w:hAnsi="Arial"/>
                <w:sz w:val="17"/>
              </w:rPr>
              <w:t>Used the same sap/exudate point or immediate resource area.</w:t>
            </w:r>
          </w:p>
        </w:tc>
        <w:tc>
          <w:tcPr>
            <w:tcW w:type="dxa" w:w="2520"/>
            <w:vAlign w:val="top"/>
          </w:tcPr>
          <w:p>
            <w:r>
              <w:rPr>
                <w:rFonts w:ascii="Arial" w:hAnsi="Arial"/>
                <w:sz w:val="17"/>
              </w:rPr>
              <w:t>Mammal visitor; strengthens “shared resource” interpretation.</w:t>
            </w:r>
          </w:p>
        </w:tc>
      </w:tr>
    </w:tbl>
    <w:p>
      <w:pPr>
        <w:pStyle w:val="Heading1"/>
      </w:pPr>
      <w:r>
        <w:t>Key Behavioural Sequence</w:t>
      </w:r>
    </w:p>
    <w:p>
      <w:pPr>
        <w:pStyle w:val="ListBullet"/>
      </w:pPr>
      <w:r>
        <w:t>A Brown-capped Pygmy Woodpecker was seen clinging to the bark near the sap/exudate point for approximately 4-5 minutes. It made a few light pecks, but clear feeding was not obvious during this initial period.</w:t>
      </w:r>
    </w:p>
    <w:p>
      <w:pPr>
        <w:pStyle w:val="ListBullet"/>
      </w:pPr>
      <w:r>
        <w:t>A larger flameback woodpecker then arrived. The pygmy woodpecker moved away or was displaced.</w:t>
      </w:r>
    </w:p>
    <w:p>
      <w:pPr>
        <w:pStyle w:val="ListBullet"/>
      </w:pPr>
      <w:r>
        <w:t>The flameback clearly used the same hole/point, either feeding from it or working the bark around it.</w:t>
      </w:r>
    </w:p>
    <w:p>
      <w:pPr>
        <w:pStyle w:val="ListBullet"/>
      </w:pPr>
      <w:r>
        <w:t>After the flameback visit, smaller birds, including Cinereous Tit, Indian White-eye, Common Tailorbird and the Brown-capped Pygmy Woodpecker, returned to the same point.</w:t>
      </w:r>
    </w:p>
    <w:p>
      <w:pPr>
        <w:pStyle w:val="ListBullet"/>
      </w:pPr>
      <w:r>
        <w:t>Across repeated observations, the point appeared to attract frequent visits and occasional tussles or displacement among species.</w:t>
      </w:r>
    </w:p>
    <w:p>
      <w:r>
        <w:rPr>
          <w:b/>
        </w:rPr>
        <w:t xml:space="preserve">Interpretation: </w:t>
      </w:r>
      <w:r>
        <w:t>This sequence suggests, but does not yet prove, that the larger woodpecker may have opened, deepened or maintained the sap point, enabling smaller birds to access the resource. The observation should be framed cautiously until footage confirms the exact moment of opening or renewed sap flow.</w:t>
      </w:r>
    </w:p>
    <w:p>
      <w:pPr>
        <w:pStyle w:val="Heading1"/>
      </w:pPr>
      <w:r>
        <w:t>What Might the Sap/Exudate Provide?</w:t>
      </w:r>
    </w:p>
    <w:p>
      <w:r>
        <w:t>The exact composition of the Arjuna exudate is unknown because no chemical test has been carried out. In general, phloem sap is sugar-rich, often dominated by sucrose, and may also contain amino acids, minerals, proteins and other dissolved compounds. Therefore, the most cautious interpretation is that the sap/exudate may offer one or more of the following benefits:</w:t>
      </w:r>
    </w:p>
    <w:p>
      <w:pPr>
        <w:pStyle w:val="ListBullet"/>
      </w:pPr>
      <w:r>
        <w:rPr>
          <w:b/>
        </w:rPr>
        <w:t xml:space="preserve">Quick energy: </w:t>
      </w:r>
      <w:r>
        <w:t>Sugar-rich sap can provide rapidly usable energy, especially during hot periods when birds may compress feeding into cooler morning hours.</w:t>
      </w:r>
    </w:p>
    <w:p>
      <w:pPr>
        <w:pStyle w:val="ListBullet"/>
      </w:pPr>
      <w:r>
        <w:rPr>
          <w:b/>
        </w:rPr>
        <w:t xml:space="preserve">Moisture / hydration support: </w:t>
      </w:r>
      <w:r>
        <w:t>Sap is fluid. It may reduce the need for small birds to expose themselves at open water sources during intense heat. This does not mean it directly “cools” birds, but it may help with hydration and energy balance.</w:t>
      </w:r>
    </w:p>
    <w:p>
      <w:pPr>
        <w:pStyle w:val="ListBullet"/>
      </w:pPr>
      <w:r>
        <w:rPr>
          <w:b/>
        </w:rPr>
        <w:t xml:space="preserve">Minerals and minor nutrients: </w:t>
      </w:r>
      <w:r>
        <w:t>Depending on the tree and sap type, the exudate may contain trace minerals, amino acids or other nutrients. This requires testing for Arjuna.</w:t>
      </w:r>
    </w:p>
    <w:p>
      <w:pPr>
        <w:pStyle w:val="ListBullet"/>
      </w:pPr>
      <w:r>
        <w:rPr>
          <w:b/>
        </w:rPr>
        <w:t xml:space="preserve">Insect attraction: </w:t>
      </w:r>
      <w:r>
        <w:t>Sap/exudate may attract insects. Some birds may be taking both sap and associated insects. This needs careful review from close footage.</w:t>
      </w:r>
    </w:p>
    <w:p>
      <w:pPr>
        <w:pStyle w:val="ListBullet"/>
      </w:pPr>
      <w:r>
        <w:rPr>
          <w:b/>
        </w:rPr>
        <w:t xml:space="preserve">A predictable micro-resource: </w:t>
      </w:r>
      <w:r>
        <w:t>Even a tiny but reliable point can become valuable if it is available repeatedly during a harsh seasonal window.</w:t>
      </w:r>
    </w:p>
    <w:p>
      <w:pPr>
        <w:pStyle w:val="Heading1"/>
      </w:pPr>
      <w:r>
        <w:t>Literature Context and Relevance</w:t>
      </w:r>
    </w:p>
    <w:p>
      <w:r>
        <w:t>These observations fit within a known but under-documented natural-history pattern: woodpeckers and other species can use tree sap as an energy-rich food source, and woodpecker-made openings can allow other birds or animals to access sap that would otherwise be difficult to reach.</w:t>
      </w:r>
    </w:p>
    <w:p>
      <w:r>
        <w:t>In dry forests of Argentina, White-fronted Woodpeckers have been documented drilling sap wells that are later used by other birds. Sap consumption there was strongly seasonal and associated with periods of resource scarcity. This is relevant to the Mukundara observation because it also occurred during peak summer, when heat and seasonal resource stress may make such micro-resources more important.</w:t>
      </w:r>
    </w:p>
    <w:p>
      <w:r>
        <w:t>A Bangladesh study on tapped date palms found that 18 of 37 observed bird species consumed sap. Importantly, the sap consumers were not only nectar-feeding birds; insectivorous and omnivorous species also used sap. This is relevant because several Mukundara visitors, such as tits, tailorbirds, white-eyes and woodpeckers, are not strict nectar specialists.</w:t>
      </w:r>
    </w:p>
    <w:p>
      <w:r>
        <w:t>Research on Akiapolaau in Hawaii and Yellow-bellied Sapsuckers in North America also shows that sap trees are often selected non-randomly, with factors such as sap flow, bark characteristics, tree condition and microhabitat influencing use. This suggests that the Arjuna tree in this observation may not be randomly selected; it may have characteristics that make sap access easier or more reliable.</w:t>
      </w:r>
    </w:p>
    <w:p>
      <w:pPr>
        <w:pStyle w:val="Heading1"/>
      </w:pPr>
      <w:r>
        <w:t>Why This Observation Matters</w:t>
      </w:r>
    </w:p>
    <w:p>
      <w:r>
        <w:t>This field note matters because it shows a single wound or hole on one Arjuna tree functioning as a shared summer resource for multiple species. The behaviour includes repeated use, waiting, displacement and apparent competition. These are stronger signals than a one-off feeding event.</w:t>
      </w:r>
    </w:p>
    <w:p>
      <w:r>
        <w:t>The Brown-capped Pygmy Woodpecker waiting near the site before the larger flameback arrived is especially interesting. It may indicate that the smaller woodpecker knew the point was useful but could not access the sap effectively until the larger woodpecker worked the hole. This remains a hypothesis, but it is a strong behavioural question worth testing with longer observation.</w:t>
      </w:r>
    </w:p>
    <w:p>
      <w:r>
        <w:t>The observation also expands the story beyond birds alone. The Five-striped Palm Squirrel using the same point suggests that the resource may support a small multi-species assemblage. In peak summer, such old trees may act as micro-resource hubs by providing shade, sap/exudate, insects and nearby feeding opportunities.</w:t>
      </w:r>
    </w:p>
    <w:p>
      <w:pPr>
        <w:pStyle w:val="Heading1"/>
      </w:pPr>
      <w:r>
        <w:t>Working Hypothesis</w:t>
      </w:r>
    </w:p>
    <w:p>
      <w:r>
        <w:t>During peak summer in Mukundara Hills Tiger Reserve, sap/exudate points on certain old trees such as Arjuna may act as seasonal food and moisture resources for multiple species. Larger woodpeckers may help open or maintain access to this resource, while smaller birds and mammals use it opportunistically. The behaviour may become more visible during hot periods when birds concentrate activity in shaded areas and when easy access to food or moisture is limited.</w:t>
      </w:r>
    </w:p>
    <w:p>
      <w:pPr>
        <w:pStyle w:val="Heading1"/>
      </w:pPr>
      <w:r>
        <w:t>Limitations</w:t>
      </w:r>
    </w:p>
    <w:p>
      <w:pPr>
        <w:pStyle w:val="ListBullet"/>
      </w:pPr>
      <w:r>
        <w:t>The observation is preliminary and opportunistic, although repeated over approximately 21 days.</w:t>
      </w:r>
    </w:p>
    <w:p>
      <w:pPr>
        <w:pStyle w:val="ListBullet"/>
      </w:pPr>
      <w:r>
        <w:t>Observations were mostly limited to 08:00-11:00 hrs; full-day and nocturnal use are unknown.</w:t>
      </w:r>
    </w:p>
    <w:p>
      <w:pPr>
        <w:pStyle w:val="ListBullet"/>
      </w:pPr>
      <w:r>
        <w:t>The exact composition of the Arjuna sap/exudate has not been tested.</w:t>
      </w:r>
    </w:p>
    <w:p>
      <w:pPr>
        <w:pStyle w:val="ListBullet"/>
      </w:pPr>
      <w:r>
        <w:t>The role of the larger flameback as a facilitator is suggested by the sequence but not yet proven.</w:t>
      </w:r>
    </w:p>
    <w:p>
      <w:pPr>
        <w:pStyle w:val="ListBullet"/>
      </w:pPr>
      <w:r>
        <w:t>Some woodpecker/flameback identifications should be confirmed from footage before public release or publication.</w:t>
      </w:r>
    </w:p>
    <w:p>
      <w:pPr>
        <w:pStyle w:val="ListBullet"/>
      </w:pPr>
      <w:r>
        <w:t>The exact location should remain withheld to avoid disturbance to the tree and behaviour.</w:t>
      </w:r>
    </w:p>
    <w:p>
      <w:pPr>
        <w:pStyle w:val="Heading1"/>
      </w:pPr>
      <w:r>
        <w:t>Suggested Follow-up Observations</w:t>
      </w:r>
    </w:p>
    <w:p>
      <w:r>
        <w:t>The next step should be systematic observation of the same tree and sap/exudate point. A fixed camera angle would be more useful than actively following birds, because the order of arrival and displacement is central to the story.</w:t>
      </w:r>
    </w:p>
    <w:p>
      <w:pPr>
        <w:pStyle w:val="ListBullet"/>
      </w:pPr>
      <w:r>
        <w:t>Date, start time and end time of each watch period.</w:t>
      </w:r>
    </w:p>
    <w:p>
      <w:pPr>
        <w:pStyle w:val="ListBullet"/>
      </w:pPr>
      <w:r>
        <w:t>Species visiting the sap/exudate point.</w:t>
      </w:r>
    </w:p>
    <w:p>
      <w:pPr>
        <w:pStyle w:val="ListBullet"/>
      </w:pPr>
      <w:r>
        <w:t>Visit duration for each species.</w:t>
      </w:r>
    </w:p>
    <w:p>
      <w:pPr>
        <w:pStyle w:val="ListBullet"/>
      </w:pPr>
      <w:r>
        <w:t>Whether the bird drinks sap, pecks bark, picks insects, or only inspects the hole.</w:t>
      </w:r>
    </w:p>
    <w:p>
      <w:pPr>
        <w:pStyle w:val="ListBullet"/>
      </w:pPr>
      <w:r>
        <w:t>Visible sap flow before and after woodpecker activity.</w:t>
      </w:r>
    </w:p>
    <w:p>
      <w:pPr>
        <w:pStyle w:val="ListBullet"/>
      </w:pPr>
      <w:r>
        <w:t>Whether a woodpecker pecks/works the hole before other birds arrive.</w:t>
      </w:r>
    </w:p>
    <w:p>
      <w:pPr>
        <w:pStyle w:val="ListBullet"/>
      </w:pPr>
      <w:r>
        <w:t>Displacement, aggression or waiting behaviour between species.</w:t>
      </w:r>
    </w:p>
    <w:p>
      <w:pPr>
        <w:pStyle w:val="ListBullet"/>
      </w:pPr>
      <w:r>
        <w:t>Temperature, shade, wind and recent rain conditions.</w:t>
      </w:r>
    </w:p>
    <w:p>
      <w:pPr>
        <w:pStyle w:val="ListBullet"/>
      </w:pPr>
      <w:r>
        <w:t>Whether nearby Arjuna or Banyan trees have similar active points.</w:t>
      </w:r>
    </w:p>
    <w:p>
      <w:pPr>
        <w:pStyle w:val="ListBullet"/>
      </w:pPr>
      <w:r>
        <w:t>Whether the point remains active across days or dries out.</w:t>
      </w:r>
    </w:p>
    <w:p>
      <w:r>
        <w:t>If permissions allow, a non-invasive sample could be tested for sugar concentration and basic composition. No cutting, scraping or artificial stimulation should be done without permission and ecological justification.</w:t>
      </w:r>
    </w:p>
    <w:p>
      <w:pPr>
        <w:pStyle w:val="Heading1"/>
      </w:pPr>
      <w:r>
        <w:t>Natural-history Sequence Potential</w:t>
      </w:r>
    </w:p>
    <w:p>
      <w:r>
        <w:t>This could work as a short 2-3 minute natural-history sequence inside a larger film or field story: peak summer heat, shaded old trees, one sap point, a larger woodpecker apparently opening/refreshing the resource, and a queue of smaller birds and a squirrel taking turns. The story should be framed as an observed behaviour and working hypothesis, not as a proven ecological mechanism yet.</w:t>
      </w:r>
    </w:p>
    <w:p>
      <w:pPr>
        <w:pStyle w:val="Heading1"/>
      </w:pPr>
      <w:r>
        <w:t>References and Useful Reading</w:t>
      </w:r>
    </w:p>
    <w:p>
      <w:pPr>
        <w:ind w:left="360" w:hanging="360"/>
      </w:pPr>
      <w:r>
        <w:rPr>
          <w:b/>
        </w:rPr>
        <w:t xml:space="preserve">[1] </w:t>
      </w:r>
      <w:r>
        <w:t xml:space="preserve">Khandakar, N., Sultana, I., Akhtar, F., Piersma, T., &amp; Das, D. K. 2024. Birds feeding on date palm sap during Bengali traditional sap harvesting on Nijhum Dweep, Bangladesh. The Wilson Journal of Ornithology, 136(4), 485-492. </w:t>
      </w:r>
      <w:hyperlink r:id="rId9">
        <w:r>
          <w:rPr>
            <w:color w:val="0563C1"/>
            <w:u w:val="single"/>
          </w:rPr>
          <w:t>https://doi.org/10.1676/24-00052</w:t>
        </w:r>
      </w:hyperlink>
    </w:p>
    <w:p>
      <w:pPr>
        <w:ind w:left="360" w:hanging="360"/>
      </w:pPr>
      <w:r>
        <w:rPr>
          <w:b/>
        </w:rPr>
        <w:t xml:space="preserve">[2] </w:t>
      </w:r>
      <w:r>
        <w:t xml:space="preserve">Blendinger, P. G. 1999. Facilitation of sap-feeding birds by the White-fronted Woodpecker in the Monte Desert, Argentina. The Condor, 101(2), 402-407. </w:t>
      </w:r>
      <w:hyperlink r:id="rId10">
        <w:r>
          <w:rPr>
            <w:color w:val="0563C1"/>
            <w:u w:val="single"/>
          </w:rPr>
          <w:t>https://digitalcommons.usf.edu/condor/vol101/iss2/25/</w:t>
        </w:r>
      </w:hyperlink>
    </w:p>
    <w:p>
      <w:pPr>
        <w:ind w:left="360" w:hanging="360"/>
      </w:pPr>
      <w:r>
        <w:rPr>
          <w:b/>
        </w:rPr>
        <w:t xml:space="preserve">[3] </w:t>
      </w:r>
      <w:r>
        <w:t xml:space="preserve">Nunez Montellano, M. G., Blendinger, P. G., &amp; Macchi, L. 2013. Sap consumption by the White-fronted Woodpecker and its role in avian assemblage structure in dry forests. The Condor, 115(1), 93-101. </w:t>
      </w:r>
      <w:hyperlink r:id="rId11">
        <w:r>
          <w:rPr>
            <w:color w:val="0563C1"/>
            <w:u w:val="single"/>
          </w:rPr>
          <w:t>https://doi.org/10.1525/cond.2012.110175</w:t>
        </w:r>
      </w:hyperlink>
    </w:p>
    <w:p>
      <w:pPr>
        <w:ind w:left="360" w:hanging="360"/>
      </w:pPr>
      <w:r>
        <w:rPr>
          <w:b/>
        </w:rPr>
        <w:t xml:space="preserve">[4] </w:t>
      </w:r>
      <w:r>
        <w:t xml:space="preserve">Pejchar, L., &amp; Jeffrey, J. 2004. Sap-feeding behavior and tree selection in the endangered Akiapolaau (Hemignathus munroi) in Hawaii. The Auk, 121(2), 548-556. </w:t>
      </w:r>
      <w:hyperlink r:id="rId12">
        <w:r>
          <w:rPr>
            <w:color w:val="0563C1"/>
            <w:u w:val="single"/>
          </w:rPr>
          <w:t>https://doi.org/10.1093/auk/121.2.548</w:t>
        </w:r>
      </w:hyperlink>
    </w:p>
    <w:p>
      <w:pPr>
        <w:ind w:left="360" w:hanging="360"/>
      </w:pPr>
      <w:r>
        <w:rPr>
          <w:b/>
        </w:rPr>
        <w:t xml:space="preserve">[5] </w:t>
      </w:r>
      <w:r>
        <w:t xml:space="preserve">Douglas, A. E. 2006. Phloem-sap feeding by animals: problems and solutions. Journal of Experimental Botany, 57(4), 747-754. </w:t>
      </w:r>
      <w:hyperlink r:id="rId13">
        <w:r>
          <w:rPr>
            <w:color w:val="0563C1"/>
            <w:u w:val="single"/>
          </w:rPr>
          <w:t>https://doi.org/10.1093/jxb/erj067</w:t>
        </w:r>
      </w:hyperlink>
    </w:p>
    <w:p>
      <w:pPr>
        <w:ind w:left="360" w:hanging="360"/>
      </w:pPr>
      <w:r>
        <w:rPr>
          <w:b/>
        </w:rPr>
        <w:t xml:space="preserve">[6] </w:t>
      </w:r>
      <w:r>
        <w:t xml:space="preserve">Eberhardt, L. S. 2000. Use and selection of sap trees by Yellow-bellied Sapsuckers. The Auk, 117(1), 41-51. </w:t>
      </w:r>
      <w:hyperlink r:id="rId14">
        <w:r>
          <w:rPr>
            <w:color w:val="0563C1"/>
            <w:u w:val="single"/>
          </w:rPr>
          <w:t>https://doi.org/10.1093/auk/117.1.41</w:t>
        </w:r>
      </w:hyperlink>
    </w:p>
    <w:p>
      <w:pPr>
        <w:ind w:left="360" w:hanging="360"/>
      </w:pPr>
      <w:r>
        <w:rPr>
          <w:b/>
        </w:rPr>
        <w:t xml:space="preserve">[7] </w:t>
      </w:r>
      <w:r>
        <w:t xml:space="preserve">Rasal, V. 2015. Sap-drinking by birds on tapped Indian date palm Phoenix sylvestris. Journal of the Bombay Natural History Society, 112(2), 102-103. </w:t>
      </w:r>
      <w:hyperlink r:id="rId15">
        <w:r>
          <w:rPr>
            <w:color w:val="0563C1"/>
            <w:u w:val="single"/>
          </w:rPr>
          <w:t>https://doi.org/10.17087/jbnhs/2015/v112i2/104943</w:t>
        </w:r>
      </w:hyperlink>
    </w:p>
    <w:sectPr w:rsidR="00FC693F" w:rsidRPr="0006063C" w:rsidSect="00034616">
      <w:footerReference w:type="default" r:id="rId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i/>
        <w:sz w:val="16"/>
      </w:rPr>
      <w:t>MHTR Arjuna sap/exudate field note draft | Exact site withheld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Arial" w:hAnsi="Arial" w:eastAsia="Arial"/>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Arial" w:hAnsi="Arial" w:eastAsia="Arial"/>
      <w:b/>
      <w:bCs/>
      <w:color w:val="376092"/>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oi.org/10.1676/24-00052" TargetMode="External"/><Relationship Id="rId10" Type="http://schemas.openxmlformats.org/officeDocument/2006/relationships/hyperlink" Target="https://digitalcommons.usf.edu/condor/vol101/iss2/25/" TargetMode="External"/><Relationship Id="rId11" Type="http://schemas.openxmlformats.org/officeDocument/2006/relationships/hyperlink" Target="https://doi.org/10.1525/cond.2012.110175" TargetMode="External"/><Relationship Id="rId12" Type="http://schemas.openxmlformats.org/officeDocument/2006/relationships/hyperlink" Target="https://doi.org/10.1093/auk/121.2.548" TargetMode="External"/><Relationship Id="rId13" Type="http://schemas.openxmlformats.org/officeDocument/2006/relationships/hyperlink" Target="https://doi.org/10.1093/jxb/erj067" TargetMode="External"/><Relationship Id="rId14" Type="http://schemas.openxmlformats.org/officeDocument/2006/relationships/hyperlink" Target="https://doi.org/10.1093/auk/117.1.41" TargetMode="External"/><Relationship Id="rId15" Type="http://schemas.openxmlformats.org/officeDocument/2006/relationships/hyperlink" Target="https://doi.org/10.17087/jbnhs/2015/v112i2/104943" TargetMode="External"/><Relationship Id="rId1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