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Research Report on Metformin</w:t>
      </w:r>
    </w:p>
    <w:p>
      <w:pPr>
        <w:pStyle w:val="Heading1"/>
      </w:pPr>
      <w:r>
        <w:t>1. Product Name</w:t>
      </w:r>
    </w:p>
    <w:p>
      <w:r>
        <w:t>Metformin Hydrochloride</w:t>
        <w:br/>
        <w:t>Brand Names: Glucophage, Glucophage XR, Riomet</w:t>
        <w:br/>
        <w:t>Description: Metformin is an oral antihyperglycemic agent belonging to the biguanide class, widely used as a first-line therapy for type 2 diabetes mellitus.</w:t>
      </w:r>
    </w:p>
    <w:p>
      <w:pPr>
        <w:pStyle w:val="Heading1"/>
      </w:pPr>
      <w:r>
        <w:t>2. Indications</w:t>
      </w:r>
    </w:p>
    <w:p>
      <w:r>
        <w:t>Primary Indication:</w:t>
        <w:br/>
        <w:t xml:space="preserve">  - Type 2 Diabetes Mellitus: For glycemic control in adults and adolescents with type 2 diabetes.</w:t>
        <w:br/>
        <w:t>Off-Label Uses:</w:t>
        <w:br/>
        <w:t xml:space="preserve">  - Polycystic Ovary Syndrome (PCOS): To improve insulin sensitivity and aid in ovulation.</w:t>
        <w:br/>
        <w:t xml:space="preserve">  - Pre-diabetes: In select cases to delay or prevent progression to type 2 diabetes.</w:t>
        <w:br/>
        <w:br/>
        <w:t>Clinical Rationale:</w:t>
        <w:br/>
        <w:t xml:space="preserve">  Metformin reduces hepatic glucose production, decreases intestinal glucose absorption, and improves insulin sensitivity, making it effective for hyperglycemia management.</w:t>
      </w:r>
    </w:p>
    <w:p>
      <w:pPr>
        <w:pStyle w:val="Heading1"/>
      </w:pPr>
      <w:r>
        <w:t>3. Dosage and Administration</w:t>
      </w:r>
    </w:p>
    <w:p>
      <w:r>
        <w:t>Initial Dose:</w:t>
        <w:br/>
        <w:t xml:space="preserve">  - Typically 500 mg orally once or twice daily with meals.</w:t>
        <w:br/>
        <w:t>Titration:</w:t>
        <w:br/>
        <w:t xml:space="preserve">  - Increase the dose by 500 mg weekly based on response and tolerability.</w:t>
        <w:br/>
        <w:t>Maintenance Dose:</w:t>
        <w:br/>
        <w:t xml:space="preserve">  - Generally 1500 mg to 2550 mg per day in divided doses.</w:t>
        <w:br/>
        <w:t>Extended-Release Formulation:</w:t>
        <w:br/>
        <w:t xml:space="preserve">  - Once-daily dosing (e.g., Glucophage XR) may reduce gastrointestinal side effects.</w:t>
        <w:br/>
        <w:t>Administration Tip:</w:t>
        <w:br/>
        <w:t xml:space="preserve">  - Take with meals to minimize gastrointestinal irritation; dose adjustments may be needed for patients with renal impairment.</w:t>
      </w:r>
    </w:p>
    <w:p>
      <w:pPr>
        <w:pStyle w:val="Heading1"/>
      </w:pPr>
      <w:r>
        <w:t>4. Adverse Events</w:t>
      </w:r>
    </w:p>
    <w:p>
      <w:r>
        <w:t>Common:</w:t>
        <w:br/>
        <w:t xml:space="preserve">  - Gastrointestinal disturbances (nausea, vomiting, diarrhea, abdominal discomfort).</w:t>
        <w:br/>
        <w:t>Rare but Serious:</w:t>
        <w:br/>
        <w:t xml:space="preserve">  - Lactic acidosis (especially in patients with renal impairment, hepatic dysfunction, or hypoxic conditions).</w:t>
        <w:br/>
        <w:t>Other:</w:t>
        <w:br/>
        <w:t xml:space="preserve">  - Vitamin B12 deficiency with long-term use; occasional metallic taste.</w:t>
      </w:r>
    </w:p>
    <w:p>
      <w:pPr>
        <w:pStyle w:val="Heading1"/>
      </w:pPr>
      <w:r>
        <w:t>5. Contraindications</w:t>
      </w:r>
    </w:p>
    <w:p>
      <w:r>
        <w:t xml:space="preserve">  - Significant renal impairment (e.g., eGFR &lt;30 mL/min/1.73 m²).</w:t>
        <w:br/>
        <w:t xml:space="preserve">  - Metabolic acidosis, including diabetic ketoacidosis.</w:t>
        <w:br/>
        <w:t xml:space="preserve">  - Severe hepatic impairment.</w:t>
        <w:br/>
        <w:t xml:space="preserve">  - Acute or chronic alcohol abuse.</w:t>
        <w:br/>
        <w:t xml:space="preserve">  - Known hypersensitivity to Metformin or its components.</w:t>
      </w:r>
    </w:p>
    <w:p>
      <w:pPr>
        <w:pStyle w:val="Heading1"/>
      </w:pPr>
      <w:r>
        <w:t>6. Storage</w:t>
      </w:r>
    </w:p>
    <w:p>
      <w:r>
        <w:t xml:space="preserve">  - Store at room temperature (15°C to 30°C or 59°F to 86°F) in a tightly closed container.</w:t>
        <w:br/>
        <w:t xml:space="preserve">  - Protect from moisture and light.</w:t>
        <w:br/>
        <w:t xml:space="preserve">  - Refer to the product label for specific shelf life details.</w:t>
      </w:r>
    </w:p>
    <w:p>
      <w:pPr>
        <w:pStyle w:val="Heading1"/>
      </w:pPr>
      <w:r>
        <w:t>7. Drug Interactions</w:t>
      </w:r>
    </w:p>
    <w:p>
      <w:r>
        <w:t xml:space="preserve">  - Cimetidine: May increase plasma levels of Metformin.</w:t>
        <w:br/>
        <w:t xml:space="preserve">  - Iodinated contrast media: Increased risk of lactic acidosis; caution is advised.</w:t>
        <w:br/>
        <w:t xml:space="preserve">  - Other hypoglycemic agents: Increased risk of hypoglycemia; monitor closely.</w:t>
        <w:br/>
        <w:t xml:space="preserve">  - Beta-blockers and diuretics: Can alter glycemic control.</w:t>
        <w:br/>
        <w:t>Clinical Tip: Regular monitoring of renal function and blood glucose is recommended when interacting drugs are used.</w:t>
      </w:r>
    </w:p>
    <w:p>
      <w:pPr>
        <w:pStyle w:val="Heading1"/>
      </w:pPr>
      <w:r>
        <w:t>8. Trial Summary</w:t>
      </w:r>
    </w:p>
    <w:p>
      <w:r>
        <w:t>UKPDS 34 (United Kingdom Prospective Diabetes Study):</w:t>
        <w:br/>
        <w:t xml:space="preserve">  - Objective: Assess intensive blood-glucose control with Metformin in overweight patients with type 2 diabetes.</w:t>
        <w:br/>
        <w:t xml:space="preserve">  - Outcome: Significant reduction in diabetes-related endpoints, all-cause mortality, and myocardial infarction risk.</w:t>
        <w:br/>
        <w:t>Other Trials:</w:t>
        <w:br/>
        <w:t xml:space="preserve">  - Numerous randomized controlled trials have demonstrated Metformin's efficacy in reducing HbA1c and the risk of diabetic complications.</w:t>
        <w:br/>
        <w:t>Summary: Clinical evidence strongly supports Metformin's benefits in glycemic control and cardiovascular risk reduction.</w:t>
      </w:r>
    </w:p>
    <w:p>
      <w:pPr>
        <w:pStyle w:val="Heading1"/>
      </w:pPr>
      <w:r>
        <w:t>9. Patient Counseling</w:t>
      </w:r>
    </w:p>
    <w:p>
      <w:r>
        <w:t>Administration:</w:t>
        <w:br/>
        <w:t xml:space="preserve">  - Take with meals; adhere to the prescribed dosing schedule.</w:t>
        <w:br/>
        <w:t>Side Effects:</w:t>
        <w:br/>
        <w:t xml:space="preserve">  - Common gastrointestinal side effects may occur but usually resolve with dose adjustment.</w:t>
        <w:br/>
        <w:t xml:space="preserve">  - Report any symptoms suggestive of lactic acidosis (e.g., rapid breathing, muscle pain) immediately.</w:t>
        <w:br/>
        <w:t>Lifestyle:</w:t>
        <w:br/>
        <w:t xml:space="preserve">  - Maintain a balanced diet and regular exercise.</w:t>
        <w:br/>
        <w:t>Monitoring:</w:t>
        <w:br/>
        <w:t xml:space="preserve">  - Regular blood tests (including renal function and vitamin B12 levels) are recommended.</w:t>
        <w:br/>
        <w:t>Drug Interactions:</w:t>
        <w:br/>
        <w:t xml:space="preserve">  - Inform your healthcare provider of all medications being taken.</w:t>
        <w:br/>
        <w:t>Follow-Up:</w:t>
        <w:br/>
        <w:t xml:space="preserve">  - Regular appointments and prompt reporting of unusual symptoms are essential for effective diabetes management.</w:t>
      </w:r>
    </w:p>
    <w:p>
      <w:pPr>
        <w:pStyle w:val="Heading1"/>
      </w:pPr>
      <w:r>
        <w:t>Conclusion</w:t>
      </w:r>
    </w:p>
    <w:p>
      <w:r>
        <w:t>Metformin is a cornerstone in the treatment of type 2 diabetes, offering both glycemic control and cardiovascular benefits. Proper dosing, patient education, and ongoing monitoring are key to maximizing its therapeutic benefits while minimizing potential risks.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