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t>Confidential</w:t>
      </w:r>
    </w:p>
    <w:p>
      <w:pPr>
        <w:pStyle w:val="Heading1"/>
        <w:jc w:val="center"/>
      </w:pPr>
      <w:r>
        <w:t>Senior Officer Dashboard BRD Council Evaluation</w:t>
      </w:r>
    </w:p>
    <w:p>
      <w:pPr>
        <w:jc w:val="center"/>
      </w:pPr>
      <w:r>
        <w:t>Generated 2026-05-05</w:t>
      </w:r>
    </w:p>
    <w:p>
      <w:r>
        <w:br w:type="page"/>
      </w:r>
    </w:p>
    <w:p>
      <w:pPr>
        <w:pStyle w:val="Heading1"/>
      </w:pPr>
      <w:r>
        <w:t>Senior Officer Dashboard BRD Adversarial Council Transcript</w:t>
      </w:r>
    </w:p>
    <w:p>
      <w:r>
        <w:rPr>
          <w:rFonts w:ascii="Arial" w:hAnsi="Arial"/>
          <w:sz w:val="21"/>
        </w:rPr>
        <w:t>Generated: 20260505-184616</w:t>
      </w:r>
    </w:p>
    <w:p>
      <w:pPr>
        <w:pStyle w:val="Heading1"/>
      </w:pPr>
      <w:r>
        <w:t>Evaluated Document</w:t>
      </w:r>
    </w:p>
    <w:p>
      <w:pPr>
        <w:pStyle w:val="ListBullet"/>
      </w:pPr>
      <w:r>
        <w:t>`docs/senior-officer-dashboard-brd-v1.md`</w:t>
      </w:r>
    </w:p>
    <w:p>
      <w:pPr>
        <w:pStyle w:val="ListBullet"/>
      </w:pPr>
      <w:r>
        <w:t>Refined output: `docs/senior-officer-dashboard-brd-v2.md`</w:t>
      </w:r>
    </w:p>
    <w:p>
      <w:pPr>
        <w:pStyle w:val="Heading1"/>
      </w:pPr>
      <w:r>
        <w:t>Advisor Analyses</w:t>
      </w:r>
    </w:p>
    <w:p>
      <w:pPr>
        <w:pStyle w:val="Heading2"/>
      </w:pPr>
      <w:r>
        <w:t>Proponent</w:t>
      </w:r>
    </w:p>
    <w:p>
      <w:r>
        <w:rPr>
          <w:rFonts w:ascii="Arial" w:hAnsi="Arial"/>
          <w:sz w:val="21"/>
        </w:rPr>
        <w:t>Strongly endorses the BRD as suitable for later implementation. Its strength is grounding Module 10 usage/adoption analytics in IQW-native entities: cases, users, stations, generated documents, parse records, AI results, KIS, audit logs, and usage events. It can become more valuable than generic BI because it combines workflow context, auditability, drill-down, RBAC, and metric definitions. Recommended additions: MVP metric list, canonical event taxonomy, officer/station posting history rules, and validation for any composite effectiveness scoring.</w:t>
      </w:r>
    </w:p>
    <w:p>
      <w:pPr>
        <w:pStyle w:val="Heading2"/>
      </w:pPr>
      <w:r>
        <w:t>Contrarian</w:t>
      </w:r>
    </w:p>
    <w:p>
      <w:r>
        <w:rPr>
          <w:rFonts w:ascii="Arial" w:hAnsi="Arial"/>
          <w:sz w:val="21"/>
        </w:rPr>
        <w:t>The fatal flaw is treating operational metrics as neutral telemetry. In a police hierarchy, officer/station metrics become performance signals even when labelled non-punitive. Risks include metric gaming, premature FIR drafts, unnecessary AI checks, duplicate generation, optics-driven status transitions, delayed intake entry, and avoidance of complex cases. Recommended mitigations: anti-gaming controls, qualitative supervisory review, metric confidence tiers, data-quality gates before officer-level reporting, personnel-privacy protections, purpose limitation, watermarking, export revocation, and a governance section with approved/prohibited uses and challenge workflows.</w:t>
      </w:r>
    </w:p>
    <w:p>
      <w:pPr>
        <w:pStyle w:val="Heading2"/>
      </w:pPr>
      <w:r>
        <w:t>First Principles</w:t>
      </w:r>
    </w:p>
    <w:p>
      <w:r>
        <w:rPr>
          <w:rFonts w:ascii="Arial" w:hAnsi="Arial"/>
          <w:sz w:val="21"/>
        </w:rPr>
        <w:t>The problem is not a dashboard; it is helping command staff know whether investigations are moving lawfully, timely, and with sufficient quality early enough to act. Usage metrics are only proxies. The BRD should distinguish adoption, operational risk, and investigation quality, and should map each metric to an allowed decision, action, and accountable owner. Counts of drafts, AI checks, active days, and exports measure usage more than effectiveness; speed is not always better if quality or legal sufficiency suffers.</w:t>
      </w:r>
    </w:p>
    <w:p>
      <w:pPr>
        <w:pStyle w:val="Heading2"/>
      </w:pPr>
      <w:r>
        <w:t>Outsider</w:t>
      </w:r>
    </w:p>
    <w:p>
      <w:r>
        <w:rPr>
          <w:rFonts w:ascii="Arial" w:hAnsi="Arial"/>
          <w:sz w:val="21"/>
        </w:rPr>
        <w:t>The BRD is comprehensive but hard for a newcomer or procurement reviewer to parse. It needs a map of what exists today versus what is new, clearer definitions of complaint-to-FIR draft versus complaint-to-FIR registration, a clearer Phase 1 versus optional split, and stronger treatment of historical data reliability. Despite non-punitive language, sortable rankings and low-adoption labels are performance monitoring, so governance, appeal/correction, minimum sample rules, and misuse safeguards must be explicit.</w:t>
      </w:r>
    </w:p>
    <w:p>
      <w:pPr>
        <w:pStyle w:val="Heading2"/>
      </w:pPr>
      <w:r>
        <w:t>Executor</w:t>
      </w:r>
    </w:p>
    <w:p>
      <w:r>
        <w:rPr>
          <w:rFonts w:ascii="Arial" w:hAnsi="Arial"/>
          <w:sz w:val="21"/>
        </w:rPr>
        <w:t>Feasible only if v1 is treated as analytics over existing operational tables, not a new intelligence platform. Fastest path: direct SQL-backed APIs for overview KPIs, station/officer tables, lifecycle funnel, filters, RBAC, audit, and metric definitions. Defer predictions, scheduled reports, training recommendations, saved views, and materialized snapshots until core numbers are trusted. Monday-morning tasks: inventory schema/sample data, write a metric source matrix, implement scope resolver, and build read-only overview with hard PII-exclusion tests.</w:t>
      </w:r>
    </w:p>
    <w:p>
      <w:pPr>
        <w:pStyle w:val="Heading1"/>
      </w:pPr>
      <w:r>
        <w:t>Anonymous Peer Reviews</w:t>
      </w:r>
    </w:p>
    <w:p>
      <w:pPr>
        <w:pStyle w:val="Heading2"/>
      </w:pPr>
      <w:r>
        <w:t>Peer Review 1</w:t>
      </w:r>
    </w:p>
    <w:p>
      <w:r>
        <w:rPr>
          <w:rFonts w:ascii="Arial" w:hAnsi="Arial"/>
          <w:sz w:val="21"/>
        </w:rPr>
        <w:t>Response D was strongest because it identified socio-technical risk: metrics in a police hierarchy become performance signals. Biggest blind spot was the proponent response, which underplayed misuse, data trust, and organizational consequences. All responses missed an operating model: who acts on which signal, through what workflow, and how false positives are corrected.</w:t>
      </w:r>
    </w:p>
    <w:p>
      <w:pPr>
        <w:pStyle w:val="Heading2"/>
      </w:pPr>
      <w:r>
        <w:t>Peer Review 2</w:t>
      </w:r>
    </w:p>
    <w:p>
      <w:r>
        <w:rPr>
          <w:rFonts w:ascii="Arial" w:hAnsi="Arial"/>
          <w:sz w:val="21"/>
        </w:rPr>
        <w:t>Response D was strongest; E was the strongest implementation companion. All responses underplayed metric contestability and source-of-truth governance: officers/stations need a process to challenge incorrect metrics and distinguish not-done from not-captured-by-IQW.</w:t>
      </w:r>
    </w:p>
    <w:p>
      <w:pPr>
        <w:pStyle w:val="Heading2"/>
      </w:pPr>
      <w:r>
        <w:t>Peer Review 3</w:t>
      </w:r>
    </w:p>
    <w:p>
      <w:r>
        <w:rPr>
          <w:rFonts w:ascii="Arial" w:hAnsi="Arial"/>
          <w:sz w:val="21"/>
        </w:rPr>
        <w:t>Response D was strongest because it protects against institutional failure. All responses missed legal semantics of lifecycle metrics and the need to align FIR registration, charge-sheet filing, closure, transfer, and court progression with statutory/departmental definitions before using them as performance indicators.</w:t>
      </w:r>
    </w:p>
    <w:p>
      <w:pPr>
        <w:pStyle w:val="Heading2"/>
      </w:pPr>
      <w:r>
        <w:t>Peer Review 4</w:t>
      </w:r>
    </w:p>
    <w:p>
      <w:r>
        <w:rPr>
          <w:rFonts w:ascii="Arial" w:hAnsi="Arial"/>
          <w:sz w:val="21"/>
        </w:rPr>
        <w:t>Response D was strongest; B had the biggest blind spot. The BRD needs a metric legitimacy framework classifying each metric by permitted use: operational awareness, training signal, workload signal, or prohibited personnel-evaluation signal, plus correction paths and normalization for case complexity and staffing.</w:t>
      </w:r>
    </w:p>
    <w:p>
      <w:pPr>
        <w:pStyle w:val="Heading2"/>
      </w:pPr>
      <w:r>
        <w:t>Peer Review 5</w:t>
      </w:r>
    </w:p>
    <w:p>
      <w:r>
        <w:rPr>
          <w:rFonts w:ascii="Arial" w:hAnsi="Arial"/>
          <w:sz w:val="21"/>
        </w:rPr>
        <w:t>Response E was strongest for actionable sequencing, though D had the sharpest risk lens. All responses missed metric governance and contestability: owners, challenge process, corrected reports, and preventing reports from being used outside stated purpose. They also missed the need for outcome validation beyond adoption volume.</w:t>
      </w:r>
    </w:p>
    <w:p>
      <w:pPr>
        <w:pStyle w:val="Heading1"/>
      </w:pPr>
      <w:r>
        <w:t>Chairman Synthesis</w:t>
      </w:r>
    </w:p>
    <w:p>
      <w:r>
        <w:rPr>
          <w:rFonts w:ascii="Arial" w:hAnsi="Arial"/>
          <w:sz w:val="21"/>
        </w:rPr>
        <w:t>Recommendation: proceed, but only after reframing the dashboard from officer performance scoring to governed operational intelligence. The BRD should split mandatory Module 10 compliance from optional blue-ocean enhancements, narrow Phase 1 to trusted read-only analytics, and add formal metric legitimacy, contestability, and data-quality controls. Officer-level views should be enabled only after source linkage, posting history, subtype normalization, and sample-size gates are validated. Predictive signals, training recommendations, scheduled exports, and composite effectiveness indexes should remain optional later phases.</w:t>
      </w:r>
    </w:p>
    <w:p>
      <w:pPr>
        <w:pStyle w:val="Heading1"/>
      </w:pPr>
      <w:r>
        <w:t>Risk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rFonts w:ascii="Arial" w:hAnsi="Arial"/>
                <w:b/>
                <w:color w:val="0F2F57"/>
                <w:sz w:val="18"/>
              </w:rPr>
              <w:t>Risk</w:t>
            </w:r>
          </w:p>
        </w:tc>
        <w:tc>
          <w:tcPr>
            <w:tcW w:type="dxa" w:w="2520"/>
            <w:vAlign w:val="top"/>
            <w:shd w:fill="D9EAF7"/>
          </w:tcPr>
          <w:p>
            <w:r/>
            <w:r>
              <w:rPr>
                <w:rFonts w:ascii="Arial" w:hAnsi="Arial"/>
                <w:b/>
                <w:color w:val="0F2F57"/>
                <w:sz w:val="18"/>
              </w:rPr>
              <w:t>Severity</w:t>
            </w:r>
          </w:p>
        </w:tc>
        <w:tc>
          <w:tcPr>
            <w:tcW w:type="dxa" w:w="2520"/>
            <w:vAlign w:val="top"/>
            <w:shd w:fill="D9EAF7"/>
          </w:tcPr>
          <w:p>
            <w:r/>
            <w:r>
              <w:rPr>
                <w:rFonts w:ascii="Arial" w:hAnsi="Arial"/>
                <w:b/>
                <w:color w:val="0F2F57"/>
                <w:sz w:val="18"/>
              </w:rPr>
              <w:t>Description</w:t>
            </w:r>
          </w:p>
        </w:tc>
        <w:tc>
          <w:tcPr>
            <w:tcW w:type="dxa" w:w="2520"/>
            <w:vAlign w:val="top"/>
            <w:shd w:fill="D9EAF7"/>
          </w:tcPr>
          <w:p>
            <w:r/>
            <w:r>
              <w:rPr>
                <w:rFonts w:ascii="Arial" w:hAnsi="Arial"/>
                <w:b/>
                <w:color w:val="0F2F57"/>
                <w:sz w:val="18"/>
              </w:rPr>
              <w:t>Mitigation</w:t>
            </w:r>
          </w:p>
        </w:tc>
      </w:tr>
      <w:tr>
        <w:tc>
          <w:tcPr>
            <w:tcW w:type="dxa" w:w="2520"/>
            <w:vAlign w:val="top"/>
          </w:tcPr>
          <w:p>
            <w:r/>
            <w:r>
              <w:rPr>
                <w:rFonts w:ascii="Arial" w:hAnsi="Arial"/>
                <w:b w:val="0"/>
                <w:sz w:val="18"/>
              </w:rPr>
              <w:t>Metric misuse / de facto disciplinary scoring</w:t>
            </w:r>
          </w:p>
        </w:tc>
        <w:tc>
          <w:tcPr>
            <w:tcW w:type="dxa" w:w="2520"/>
            <w:vAlign w:val="top"/>
          </w:tcPr>
          <w:p>
            <w:r/>
            <w:r>
              <w:rPr>
                <w:rFonts w:ascii="Arial" w:hAnsi="Arial"/>
                <w:b w:val="0"/>
                <w:sz w:val="18"/>
              </w:rPr>
              <w:t>Critical</w:t>
            </w:r>
          </w:p>
        </w:tc>
        <w:tc>
          <w:tcPr>
            <w:tcW w:type="dxa" w:w="2520"/>
            <w:vAlign w:val="top"/>
          </w:tcPr>
          <w:p>
            <w:r/>
            <w:r>
              <w:rPr>
                <w:rFonts w:ascii="Arial" w:hAnsi="Arial"/>
                <w:b w:val="0"/>
                <w:sz w:val="18"/>
              </w:rPr>
              <w:t>Officer/station rankings may be used punitively despite non-punitive wording.</w:t>
            </w:r>
          </w:p>
        </w:tc>
        <w:tc>
          <w:tcPr>
            <w:tcW w:type="dxa" w:w="2520"/>
            <w:vAlign w:val="top"/>
          </w:tcPr>
          <w:p>
            <w:r/>
            <w:r>
              <w:rPr>
                <w:rFonts w:ascii="Arial" w:hAnsi="Arial"/>
                <w:b w:val="0"/>
                <w:sz w:val="18"/>
              </w:rPr>
              <w:t>Add permitted-use classes, prohibited-use rules, challenge workflow, and officer-level rollout gate.</w:t>
            </w:r>
          </w:p>
        </w:tc>
      </w:tr>
      <w:tr>
        <w:tc>
          <w:tcPr>
            <w:tcW w:type="dxa" w:w="2520"/>
            <w:vAlign w:val="top"/>
          </w:tcPr>
          <w:p>
            <w:r/>
            <w:r>
              <w:rPr>
                <w:rFonts w:ascii="Arial" w:hAnsi="Arial"/>
                <w:b w:val="0"/>
                <w:sz w:val="18"/>
              </w:rPr>
              <w:t>Metric gaming</w:t>
            </w:r>
          </w:p>
        </w:tc>
        <w:tc>
          <w:tcPr>
            <w:tcW w:type="dxa" w:w="2520"/>
            <w:vAlign w:val="top"/>
          </w:tcPr>
          <w:p>
            <w:r/>
            <w:r>
              <w:rPr>
                <w:rFonts w:ascii="Arial" w:hAnsi="Arial"/>
                <w:b w:val="0"/>
                <w:sz w:val="18"/>
              </w:rPr>
              <w:t>High</w:t>
            </w:r>
          </w:p>
        </w:tc>
        <w:tc>
          <w:tcPr>
            <w:tcW w:type="dxa" w:w="2520"/>
            <w:vAlign w:val="top"/>
          </w:tcPr>
          <w:p>
            <w:r/>
            <w:r>
              <w:rPr>
                <w:rFonts w:ascii="Arial" w:hAnsi="Arial"/>
                <w:b w:val="0"/>
                <w:sz w:val="18"/>
              </w:rPr>
              <w:t>Users may optimize visible counts rather than investigation quality.</w:t>
            </w:r>
          </w:p>
        </w:tc>
        <w:tc>
          <w:tcPr>
            <w:tcW w:type="dxa" w:w="2520"/>
            <w:vAlign w:val="top"/>
          </w:tcPr>
          <w:p>
            <w:r/>
            <w:r>
              <w:rPr>
                <w:rFonts w:ascii="Arial" w:hAnsi="Arial"/>
                <w:b w:val="0"/>
                <w:sz w:val="18"/>
              </w:rPr>
              <w:t>Add anomaly signals, qualitative review, sample-size rules, and no-single-metric decision rule.</w:t>
            </w:r>
          </w:p>
        </w:tc>
      </w:tr>
      <w:tr>
        <w:tc>
          <w:tcPr>
            <w:tcW w:type="dxa" w:w="2520"/>
            <w:vAlign w:val="top"/>
          </w:tcPr>
          <w:p>
            <w:r/>
            <w:r>
              <w:rPr>
                <w:rFonts w:ascii="Arial" w:hAnsi="Arial"/>
                <w:b w:val="0"/>
                <w:sz w:val="18"/>
              </w:rPr>
              <w:t>Bad data attribution</w:t>
            </w:r>
          </w:p>
        </w:tc>
        <w:tc>
          <w:tcPr>
            <w:tcW w:type="dxa" w:w="2520"/>
            <w:vAlign w:val="top"/>
          </w:tcPr>
          <w:p>
            <w:r/>
            <w:r>
              <w:rPr>
                <w:rFonts w:ascii="Arial" w:hAnsi="Arial"/>
                <w:b w:val="0"/>
                <w:sz w:val="18"/>
              </w:rPr>
              <w:t>High</w:t>
            </w:r>
          </w:p>
        </w:tc>
        <w:tc>
          <w:tcPr>
            <w:tcW w:type="dxa" w:w="2520"/>
            <w:vAlign w:val="top"/>
          </w:tcPr>
          <w:p>
            <w:r/>
            <w:r>
              <w:rPr>
                <w:rFonts w:ascii="Arial" w:hAnsi="Arial"/>
                <w:b w:val="0"/>
                <w:sz w:val="18"/>
              </w:rPr>
              <w:t>Incorrect HRMS posting, IO assignment, or parse/case linkage can misattribute work.</w:t>
            </w:r>
          </w:p>
        </w:tc>
        <w:tc>
          <w:tcPr>
            <w:tcW w:type="dxa" w:w="2520"/>
            <w:vAlign w:val="top"/>
          </w:tcPr>
          <w:p>
            <w:r/>
            <w:r>
              <w:rPr>
                <w:rFonts w:ascii="Arial" w:hAnsi="Arial"/>
                <w:b w:val="0"/>
                <w:sz w:val="18"/>
              </w:rPr>
              <w:t>Add metric confidence tiers, source matrix, data-quality gates, and correction workflow.</w:t>
            </w:r>
          </w:p>
        </w:tc>
      </w:tr>
      <w:tr>
        <w:tc>
          <w:tcPr>
            <w:tcW w:type="dxa" w:w="2520"/>
            <w:vAlign w:val="top"/>
          </w:tcPr>
          <w:p>
            <w:r/>
            <w:r>
              <w:rPr>
                <w:rFonts w:ascii="Arial" w:hAnsi="Arial"/>
                <w:b w:val="0"/>
                <w:sz w:val="18"/>
              </w:rPr>
              <w:t>PII/personnel analytics leakage</w:t>
            </w:r>
          </w:p>
        </w:tc>
        <w:tc>
          <w:tcPr>
            <w:tcW w:type="dxa" w:w="2520"/>
            <w:vAlign w:val="top"/>
          </w:tcPr>
          <w:p>
            <w:r/>
            <w:r>
              <w:rPr>
                <w:rFonts w:ascii="Arial" w:hAnsi="Arial"/>
                <w:b w:val="0"/>
                <w:sz w:val="18"/>
              </w:rPr>
              <w:t>High</w:t>
            </w:r>
          </w:p>
        </w:tc>
        <w:tc>
          <w:tcPr>
            <w:tcW w:type="dxa" w:w="2520"/>
            <w:vAlign w:val="top"/>
          </w:tcPr>
          <w:p>
            <w:r/>
            <w:r>
              <w:rPr>
                <w:rFonts w:ascii="Arial" w:hAnsi="Arial"/>
                <w:b w:val="0"/>
                <w:sz w:val="18"/>
              </w:rPr>
              <w:t>Exports and drill-downs may leak sensitive personnel or case metadata.</w:t>
            </w:r>
          </w:p>
        </w:tc>
        <w:tc>
          <w:tcPr>
            <w:tcW w:type="dxa" w:w="2520"/>
            <w:vAlign w:val="top"/>
          </w:tcPr>
          <w:p>
            <w:r/>
            <w:r>
              <w:rPr>
                <w:rFonts w:ascii="Arial" w:hAnsi="Arial"/>
                <w:b w:val="0"/>
                <w:sz w:val="18"/>
              </w:rPr>
              <w:t>Metadata-only DTOs, watermarking, short expiry, revocation, download logs, and export scope checks.</w:t>
            </w:r>
          </w:p>
        </w:tc>
      </w:tr>
      <w:tr>
        <w:tc>
          <w:tcPr>
            <w:tcW w:type="dxa" w:w="2520"/>
            <w:vAlign w:val="top"/>
          </w:tcPr>
          <w:p>
            <w:r/>
            <w:r>
              <w:rPr>
                <w:rFonts w:ascii="Arial" w:hAnsi="Arial"/>
                <w:b w:val="0"/>
                <w:sz w:val="18"/>
              </w:rPr>
              <w:t>Scope creep beyond RFQ Module 10</w:t>
            </w:r>
          </w:p>
        </w:tc>
        <w:tc>
          <w:tcPr>
            <w:tcW w:type="dxa" w:w="2520"/>
            <w:vAlign w:val="top"/>
          </w:tcPr>
          <w:p>
            <w:r/>
            <w:r>
              <w:rPr>
                <w:rFonts w:ascii="Arial" w:hAnsi="Arial"/>
                <w:b w:val="0"/>
                <w:sz w:val="18"/>
              </w:rPr>
              <w:t>Medium</w:t>
            </w:r>
          </w:p>
        </w:tc>
        <w:tc>
          <w:tcPr>
            <w:tcW w:type="dxa" w:w="2520"/>
            <w:vAlign w:val="top"/>
          </w:tcPr>
          <w:p>
            <w:r/>
            <w:r>
              <w:rPr>
                <w:rFonts w:ascii="Arial" w:hAnsi="Arial"/>
                <w:b w:val="0"/>
                <w:sz w:val="18"/>
              </w:rPr>
              <w:t>Predictions and effectiveness scoring may be challenged as extra scope.</w:t>
            </w:r>
          </w:p>
        </w:tc>
        <w:tc>
          <w:tcPr>
            <w:tcW w:type="dxa" w:w="2520"/>
            <w:vAlign w:val="top"/>
          </w:tcPr>
          <w:p>
            <w:r/>
            <w:r>
              <w:rPr>
                <w:rFonts w:ascii="Arial" w:hAnsi="Arial"/>
                <w:b w:val="0"/>
                <w:sz w:val="18"/>
              </w:rPr>
              <w:t>Classify mandatory compliance versus optional enhancements and defer advanced analytics.</w:t>
            </w:r>
          </w:p>
        </w:tc>
      </w:tr>
      <w:tr>
        <w:tc>
          <w:tcPr>
            <w:tcW w:type="dxa" w:w="2520"/>
            <w:vAlign w:val="top"/>
          </w:tcPr>
          <w:p>
            <w:r/>
            <w:r>
              <w:rPr>
                <w:rFonts w:ascii="Arial" w:hAnsi="Arial"/>
                <w:b w:val="0"/>
                <w:sz w:val="18"/>
              </w:rPr>
              <w:t>Effectiveness proxy confusion</w:t>
            </w:r>
          </w:p>
        </w:tc>
        <w:tc>
          <w:tcPr>
            <w:tcW w:type="dxa" w:w="2520"/>
            <w:vAlign w:val="top"/>
          </w:tcPr>
          <w:p>
            <w:r/>
            <w:r>
              <w:rPr>
                <w:rFonts w:ascii="Arial" w:hAnsi="Arial"/>
                <w:b w:val="0"/>
                <w:sz w:val="18"/>
              </w:rPr>
              <w:t>Medium</w:t>
            </w:r>
          </w:p>
        </w:tc>
        <w:tc>
          <w:tcPr>
            <w:tcW w:type="dxa" w:w="2520"/>
            <w:vAlign w:val="top"/>
          </w:tcPr>
          <w:p>
            <w:r/>
            <w:r>
              <w:rPr>
                <w:rFonts w:ascii="Arial" w:hAnsi="Arial"/>
                <w:b w:val="0"/>
                <w:sz w:val="18"/>
              </w:rPr>
              <w:t>Usage/adoption may be mistaken for investigation quality.</w:t>
            </w:r>
          </w:p>
        </w:tc>
        <w:tc>
          <w:tcPr>
            <w:tcW w:type="dxa" w:w="2520"/>
            <w:vAlign w:val="top"/>
          </w:tcPr>
          <w:p>
            <w:r/>
            <w:r>
              <w:rPr>
                <w:rFonts w:ascii="Arial" w:hAnsi="Arial"/>
                <w:b w:val="0"/>
                <w:sz w:val="18"/>
              </w:rPr>
              <w:t>Separate adoption, operational risk, and quality dashboards; validate outcome metrics with users.</w:t>
            </w:r>
          </w:p>
        </w:tc>
      </w:tr>
    </w:tbl>
    <w:p/>
    <w:p>
      <w:pPr>
        <w:pStyle w:val="Heading1"/>
      </w:pPr>
      <w:r>
        <w:t>One Thing To Do First</w:t>
      </w:r>
    </w:p>
    <w:p>
      <w:r>
        <w:rPr>
          <w:rFonts w:ascii="Arial" w:hAnsi="Arial"/>
          <w:sz w:val="21"/>
        </w:rPr>
        <w:t>Run a Phase 0 metric source inventory for the first 10 MVP metrics and classify each as available, derivable, unreliable, or missing before implementing officer-level comparisons.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Hyderabad City Police IQW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05050"/>
        <w:sz w:val="18"/>
      </w:rPr>
      <w:t>Confidential | Senior Officer Dashboard BRD Council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F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2F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2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