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t>Confidential</w:t>
      </w:r>
    </w:p>
    <w:p>
      <w:pPr>
        <w:pStyle w:val="Heading1"/>
        <w:jc w:val="center"/>
      </w:pPr>
      <w:r>
        <w:t>Test Cases: Senior Officer Performance &amp; Effectiveness Dashboard</w:t>
      </w:r>
    </w:p>
    <w:p>
      <w:r>
        <w:br w:type="page"/>
      </w:r>
    </w:p>
    <w:p>
      <w:pPr>
        <w:pStyle w:val="Heading1"/>
      </w:pPr>
      <w:r>
        <w:t>Test Cases: Senior Officer Performance &amp; Effectiveness Dashboard</w:t>
      </w:r>
    </w:p>
    <w:p>
      <w:r>
        <w:t>Version: v2</w:t>
      </w:r>
    </w:p>
    <w:p>
      <w:r>
        <w:t>Date: 2026-05-05</w:t>
      </w:r>
    </w:p>
    <w:p>
      <w:r>
        <w:t>Source BRD: `docs/senior-officer-dashboard-brd-v2.md`</w:t>
      </w:r>
    </w:p>
    <w:p>
      <w:pPr>
        <w:pStyle w:val="Heading1"/>
      </w:pPr>
      <w:r>
        <w:t>Table of Contents</w:t>
      </w:r>
    </w:p>
    <w:p>
      <w:r>
        <w:t>1. Test Coverage Summary</w:t>
      </w:r>
    </w:p>
    <w:p>
      <w:r>
        <w:t>2. Traceability Matrix</w:t>
      </w:r>
    </w:p>
    <w:p>
      <w:r>
        <w:t>3. Test Cases by Functional Requirement</w:t>
      </w:r>
    </w:p>
    <w:p>
      <w:pPr>
        <w:pStyle w:val="Heading2"/>
      </w:pPr>
      <w:r>
        <w:t>TC-FR001-01: Happy path - Senior Officer Dashboard Entry Point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TC-FR001-01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Senior Officer Dashboard Entry Point</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FR-001</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Senior Officer Dashboard Entry Point.</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Senior Officer Dashboard Entry Point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TC-FR001-02: Negative/edge - Senior Officer Dashboard Entry Point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TC-FR001-02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Senior Officer Dashboard Entry Point</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FR-001</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TC-FR002-01: Happy path - Period, Scope, and Dimension Filters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TC-FR002-01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Period, Scope, and Dimension Filters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FR-002</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Period, Scope, and Dimension Filters.</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Period, Scope, and Dimension Filters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TC-FR002-02: Negative/edge - Period, Scope, and Dimension Filters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TC-FR002-02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Period, Scope, and Dimension Filters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FR-002</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TC-FR003-01: Happy path - User Productivity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TC-FR003-01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User Productivity Metrics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FR-003</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User Productivity Metrics.</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User Productivity Metrics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TC-FR003-02: Negative/edge - User Productivity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TC-FR003-02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User Productivity Metrics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FR-003</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TC-FR004-01: Happy path - Complaint-to-FIR Draft Processing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TC-FR004-01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Complaint-to-FIR Draft Processing Metrics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FR-004</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Complaint-to-FIR Draft Processing Metrics.</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Complaint-to-FIR Draft Processing Metrics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TC-FR004-02: Negative/edge - Complaint-to-FIR Draft Processing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TC-FR004-02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Complaint-to-FIR Draft Processing Metrics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FR-004</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TC-FR005-01: Happy path - Complaint-to-FIR and Investigation Lifecycle Funnel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TC-FR005-01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Complaint-to-FIR and Investigation Lifecycle Funnel</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FR-005</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Complaint-to-FIR and Investigation Lifecycle Funnel.</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Complaint-to-FIR and Investigation Lifecycle Funnel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TC-FR005-02: Negative/edge - Complaint-to-FIR and Investigation Lifecycle Funnel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TC-FR005-02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Complaint-to-FIR and Investigation Lifecycle Funnel</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FR-005</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TC-FR006-01: Happy path - FIR Draft and Generated Document Analytics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TC-FR006-01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FIR Draft and Generated Document Analytics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FR-006</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FIR Draft and Generated Document Analytics.</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FIR Draft and Generated Document Analytics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TC-FR006-02: Negative/edge - FIR Draft and Generated Document Analytics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TC-FR006-02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FIR Draft and Generated Document Analytics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FR-006</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TC-FR007-01: Happy path - Feature Adoption and AI Effectiveness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TC-FR007-01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Feature Adoption and AI Effectiveness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FR-007</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Feature Adoption and AI Effectiveness.</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Feature Adoption and AI Effectiveness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TC-FR007-02: Negative/edge - Feature Adoption and AI Effectiveness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TC-FR007-02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Feature Adoption and AI Effectiveness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FR-007</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TC-FR008-01: Happy path - Station Comparison and Cohort Benchmarking</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TC-FR008-01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Station Comparison and Cohort Benchmarking</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FR-008</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Station Comparison and Cohort Benchmarking.</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Station Comparison and Cohort Benchmarking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TC-FR008-02: Negative/edge - Station Comparison and Cohort Benchmarking</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TC-FR008-02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Station Comparison and Cohort Benchmarking</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FR-008</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TC-FR009-01: Happy path - Officer Detail and Case Metadata Drill-Down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TC-FR009-01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Officer Detail and Case Metadata Drill-Down</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FR-009</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Officer Detail and Case Metadata Drill-Down.</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Officer Detail and Case Metadata Drill-Down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TC-FR009-02: Negative/edge - Officer Detail and Case Metadata Drill-Down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TC-FR009-02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Officer Detail and Case Metadata Drill-Down</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FR-009</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TC-FR010-01: Happy path - Bottleneck Detection and Alerts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TC-FR010-01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Bottleneck Detection and Alerts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FR-010</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Bottleneck Detection and Alerts.</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Bottleneck Detection and Alerts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TC-FR010-02: Negative/edge - Bottleneck Detection and Alerts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TC-FR010-02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Bottleneck Detection and Alerts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FR-010</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TC-FR011-01: Happy path - Report Export and Scheduled Reports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TC-FR011-01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Report Export and Scheduled Reports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FR-011</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Report Export and Scheduled Reports.</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Report Export and Scheduled Reports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TC-FR011-02: Negative/edge - Report Export and Scheduled Reports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TC-FR011-02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Report Export and Scheduled Reports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FR-011</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TC-FR012-01: Happy path - Metric Definition and Data Quality Transparency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TC-FR012-01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Metric Definition and Data Quality Transparency</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FR-012</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Metric Definition and Data Quality Transparency.</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Metric Definition and Data Quality Transparency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TC-FR012-02: Negative/edge - Metric Definition and Data Quality Transparency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TC-FR012-02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Metric Definition and Data Quality Transparency</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FR-012</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TC-FR013-01: Happy path - Data Refresh and Aggregation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TC-FR013-01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Data Refresh and Aggregation</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FR-013</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Data Refresh and Aggregation.</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Data Refresh and Aggregation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TC-FR013-02: Negative/edge - Data Refresh and Aggregation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TC-FR013-02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Data Refresh and Aggregation</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FR-013</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TC-FR014-01: Happy path - Privacy, Authorization, and Audit Controls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TC-FR014-01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Privacy, Authorization, and Audit Controls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FR-014</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Privacy, Authorization, and Audit Controls.</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Privacy, Authorization, and Audit Controls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TC-FR014-02: Negative/edge - Privacy, Authorization, and Audit Controls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TC-FR014-02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Privacy, Authorization, and Audit Controls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FR-014</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TC-FR015-01: Happy path - Training and Adoption Recommendations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TC-FR015-01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Training and Adoption Recommendations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FR-015</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Training and Adoption Recommendations.</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Training and Adoption Recommendations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TC-FR015-02: Negative/edge - Training and Adoption Recommendations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TC-FR015-02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Training and Adoption Recommendations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FR-015</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TC-FR016-01: Happy path - Predictive Bottleneck Signal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TC-FR016-01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Predictive Bottleneck Signal</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FR-016</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Predictive Bottleneck Signal.</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Predictive Bottleneck Signal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TC-FR016-02: Negative/edge - Predictive Bottleneck Signal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TC-FR016-02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Predictive Bottleneck Signal</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FR-016</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TC-FR017-01: Happy path - Metric Legitimacy, Challenge, and Correction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TC-FR017-01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Metric Legitimacy, Challenge, and Correction</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FR-017</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Metric Legitimacy, Challenge, and Correction.</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Metric Legitimacy, Challenge, and Correction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TC-FR017-02: Negative/edge - Metric Legitimacy, Challenge, and Correction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TC-FR017-02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Metric Legitimacy, Challenge, and Correction</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FR-017</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2"/>
      </w:pPr>
      <w:r>
        <w:t>TC-FR018-01: Happy path - MVP Rollout and Field Validation Controls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TC-FR018-01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MVP Rollout and Field Validation Controls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FR-018</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with a role permitted by the BRD. Test data includes cases, users, stations, generated documents, AI results, usage events, and audit records for the selected scope.</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Select period Last 30 days.</w:t>
              <w:br/>
              <w:t>3. Apply a valid police-station or role-default scope.</w:t>
              <w:br/>
              <w:t>4. Navigate to the feature area for MVP Rollout and Field Validation Controls.</w:t>
              <w:br/>
              <w:t>5. Review cards/tables/charts and open metric definition where available.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 Senior_Command or System_Admin; Period: last_30_days; Station: ps_abids; Officer: 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The dashboard renders MVP Rollout and Field Validation Controls data for the authorized scope. Values match seeded source data. Metric definition, freshness, and confidence are visible where required. No complaint narrative, OCR text, addresses, phone numbers, victim names, accused names, or FIR draft body appears.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 dashboard.view audit event or equivalent usage event is recorded with filters hash and scope metadata.</w:t>
            </w:r>
          </w:p>
        </w:tc>
      </w:tr>
    </w:tbl>
    <w:p/>
    <w:p>
      <w:pPr>
        <w:pStyle w:val="Heading2"/>
      </w:pPr>
      <w:r>
        <w:t>TC-FR018-02: Negative/edge - MVP Rollout and Field Validation Controls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TC-FR018-02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MVP Rollout and Field Validation Controls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FR-018</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is authenticated. Dataset includes at least one out-of-scope station/officer and one empty-result filter combination.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the Senior Dashboard.</w:t>
              <w:br/>
              <w:t>2. Attempt to access the feature with an out-of-scope station or officer filter.</w:t>
              <w:br/>
              <w:t>3. Repeat with a filter combination that returns zero rows.</w:t>
              <w:br/>
              <w:t>4. If the feature accepts input, submit one invalid or PII-containing value.</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 ps_other; Invalid date range: date_from after date_to; PII text sample: complainant phone number in dispute description.</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Out-of-scope access returns or displays AUTHORIZATION_ERROR. Empty filters show a clear zero-state without crashing. Invalid input returns VALIDATION_ERROR with field name. PII-containing dashboard governance text is rejected where the BRD prohibits PII.</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unauthorized metric data is persisted or displayed. Error path is audit-safe and does not leak secrets or PII.</w:t>
            </w:r>
          </w:p>
        </w:tc>
      </w:tr>
    </w:tbl>
    <w:p/>
    <w:p>
      <w:pPr>
        <w:pStyle w:val="Heading1"/>
      </w:pPr>
      <w:r>
        <w:t>1. Test Coverage Summary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Metric</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Total Test Cases</w:t>
            </w:r>
          </w:p>
        </w:tc>
        <w:tc>
          <w:tcPr>
            <w:tcW w:type="dxa" w:w="5040"/>
            <w:vAlign w:val="top"/>
          </w:tcPr>
          <w:p>
            <w:r/>
            <w:r>
              <w:rPr>
                <w:rFonts w:ascii="Arial" w:hAnsi="Arial"/>
                <w:b w:val="0"/>
                <w:sz w:val="18"/>
              </w:rPr>
              <w:t>41</w:t>
            </w:r>
          </w:p>
        </w:tc>
      </w:tr>
      <w:tr>
        <w:tc>
          <w:tcPr>
            <w:tcW w:type="dxa" w:w="5040"/>
            <w:vAlign w:val="top"/>
          </w:tcPr>
          <w:p>
            <w:r/>
            <w:r>
              <w:rPr>
                <w:rFonts w:ascii="Arial" w:hAnsi="Arial"/>
                <w:b w:val="0"/>
                <w:sz w:val="18"/>
              </w:rPr>
              <w:t>FRs Covered</w:t>
            </w:r>
          </w:p>
        </w:tc>
        <w:tc>
          <w:tcPr>
            <w:tcW w:type="dxa" w:w="5040"/>
            <w:vAlign w:val="top"/>
          </w:tcPr>
          <w:p>
            <w:r/>
            <w:r>
              <w:rPr>
                <w:rFonts w:ascii="Arial" w:hAnsi="Arial"/>
                <w:b w:val="0"/>
                <w:sz w:val="18"/>
              </w:rPr>
              <w:t>18 / 18</w:t>
            </w:r>
          </w:p>
        </w:tc>
      </w:tr>
      <w:tr>
        <w:tc>
          <w:tcPr>
            <w:tcW w:type="dxa" w:w="5040"/>
            <w:vAlign w:val="top"/>
          </w:tcPr>
          <w:p>
            <w:r/>
            <w:r>
              <w:rPr>
                <w:rFonts w:ascii="Arial" w:hAnsi="Arial"/>
                <w:b w:val="0"/>
                <w:sz w:val="18"/>
              </w:rPr>
              <w:t>Happy Path Tests</w:t>
            </w:r>
          </w:p>
        </w:tc>
        <w:tc>
          <w:tcPr>
            <w:tcW w:type="dxa" w:w="5040"/>
            <w:vAlign w:val="top"/>
          </w:tcPr>
          <w:p>
            <w:r/>
            <w:r>
              <w:rPr>
                <w:rFonts w:ascii="Arial" w:hAnsi="Arial"/>
                <w:b w:val="0"/>
                <w:sz w:val="18"/>
              </w:rPr>
              <w:t>18</w:t>
            </w:r>
          </w:p>
        </w:tc>
      </w:tr>
      <w:tr>
        <w:tc>
          <w:tcPr>
            <w:tcW w:type="dxa" w:w="5040"/>
            <w:vAlign w:val="top"/>
          </w:tcPr>
          <w:p>
            <w:r/>
            <w:r>
              <w:rPr>
                <w:rFonts w:ascii="Arial" w:hAnsi="Arial"/>
                <w:b w:val="0"/>
                <w:sz w:val="18"/>
              </w:rPr>
              <w:t>Negative Tests</w:t>
            </w:r>
          </w:p>
        </w:tc>
        <w:tc>
          <w:tcPr>
            <w:tcW w:type="dxa" w:w="5040"/>
            <w:vAlign w:val="top"/>
          </w:tcPr>
          <w:p>
            <w:r/>
            <w:r>
              <w:rPr>
                <w:rFonts w:ascii="Arial" w:hAnsi="Arial"/>
                <w:b w:val="0"/>
                <w:sz w:val="18"/>
              </w:rPr>
              <w:t>18</w:t>
            </w:r>
          </w:p>
        </w:tc>
      </w:tr>
      <w:tr>
        <w:tc>
          <w:tcPr>
            <w:tcW w:type="dxa" w:w="5040"/>
            <w:vAlign w:val="top"/>
          </w:tcPr>
          <w:p>
            <w:r/>
            <w:r>
              <w:rPr>
                <w:rFonts w:ascii="Arial" w:hAnsi="Arial"/>
                <w:b w:val="0"/>
                <w:sz w:val="18"/>
              </w:rPr>
              <w:t>Boundary Tests</w:t>
            </w:r>
          </w:p>
        </w:tc>
        <w:tc>
          <w:tcPr>
            <w:tcW w:type="dxa" w:w="5040"/>
            <w:vAlign w:val="top"/>
          </w:tcPr>
          <w:p>
            <w:r/>
            <w:r>
              <w:rPr>
                <w:rFonts w:ascii="Arial" w:hAnsi="Arial"/>
                <w:b w:val="0"/>
                <w:sz w:val="18"/>
              </w:rPr>
              <w:t>2</w:t>
            </w:r>
          </w:p>
        </w:tc>
      </w:tr>
      <w:tr>
        <w:tc>
          <w:tcPr>
            <w:tcW w:type="dxa" w:w="5040"/>
            <w:vAlign w:val="top"/>
          </w:tcPr>
          <w:p>
            <w:r/>
            <w:r>
              <w:rPr>
                <w:rFonts w:ascii="Arial" w:hAnsi="Arial"/>
                <w:b w:val="0"/>
                <w:sz w:val="18"/>
              </w:rPr>
              <w:t>Permission Tests</w:t>
            </w:r>
          </w:p>
        </w:tc>
        <w:tc>
          <w:tcPr>
            <w:tcW w:type="dxa" w:w="5040"/>
            <w:vAlign w:val="top"/>
          </w:tcPr>
          <w:p>
            <w:r/>
            <w:r>
              <w:rPr>
                <w:rFonts w:ascii="Arial" w:hAnsi="Arial"/>
                <w:b w:val="0"/>
                <w:sz w:val="18"/>
              </w:rPr>
              <w:t>4</w:t>
            </w:r>
          </w:p>
        </w:tc>
      </w:tr>
      <w:tr>
        <w:tc>
          <w:tcPr>
            <w:tcW w:type="dxa" w:w="5040"/>
            <w:vAlign w:val="top"/>
          </w:tcPr>
          <w:p>
            <w:r/>
            <w:r>
              <w:rPr>
                <w:rFonts w:ascii="Arial" w:hAnsi="Arial"/>
                <w:b w:val="0"/>
                <w:sz w:val="18"/>
              </w:rPr>
              <w:t>Integration Tests</w:t>
            </w:r>
          </w:p>
        </w:tc>
        <w:tc>
          <w:tcPr>
            <w:tcW w:type="dxa" w:w="5040"/>
            <w:vAlign w:val="top"/>
          </w:tcPr>
          <w:p>
            <w:r/>
            <w:r>
              <w:rPr>
                <w:rFonts w:ascii="Arial" w:hAnsi="Arial"/>
                <w:b w:val="0"/>
                <w:sz w:val="18"/>
              </w:rPr>
              <w:t>4</w:t>
            </w:r>
          </w:p>
        </w:tc>
      </w:tr>
      <w:tr>
        <w:tc>
          <w:tcPr>
            <w:tcW w:type="dxa" w:w="5040"/>
            <w:vAlign w:val="top"/>
          </w:tcPr>
          <w:p>
            <w:r/>
            <w:r>
              <w:rPr>
                <w:rFonts w:ascii="Arial" w:hAnsi="Arial"/>
                <w:b w:val="0"/>
                <w:sz w:val="18"/>
              </w:rPr>
              <w:t>Critical Priority</w:t>
            </w:r>
          </w:p>
        </w:tc>
        <w:tc>
          <w:tcPr>
            <w:tcW w:type="dxa" w:w="5040"/>
            <w:vAlign w:val="top"/>
          </w:tcPr>
          <w:p>
            <w:r/>
            <w:r>
              <w:rPr>
                <w:rFonts w:ascii="Arial" w:hAnsi="Arial"/>
                <w:b w:val="0"/>
                <w:sz w:val="18"/>
              </w:rPr>
              <w:t>20</w:t>
            </w:r>
          </w:p>
        </w:tc>
      </w:tr>
      <w:tr>
        <w:tc>
          <w:tcPr>
            <w:tcW w:type="dxa" w:w="5040"/>
            <w:vAlign w:val="top"/>
          </w:tcPr>
          <w:p>
            <w:r/>
            <w:r>
              <w:rPr>
                <w:rFonts w:ascii="Arial" w:hAnsi="Arial"/>
                <w:b w:val="0"/>
                <w:sz w:val="18"/>
              </w:rPr>
              <w:t>High Priority</w:t>
            </w:r>
          </w:p>
        </w:tc>
        <w:tc>
          <w:tcPr>
            <w:tcW w:type="dxa" w:w="5040"/>
            <w:vAlign w:val="top"/>
          </w:tcPr>
          <w:p>
            <w:r/>
            <w:r>
              <w:rPr>
                <w:rFonts w:ascii="Arial" w:hAnsi="Arial"/>
                <w:b w:val="0"/>
                <w:sz w:val="18"/>
              </w:rPr>
              <w:t>21</w:t>
            </w:r>
          </w:p>
        </w:tc>
      </w:tr>
      <w:tr>
        <w:tc>
          <w:tcPr>
            <w:tcW w:type="dxa" w:w="5040"/>
            <w:vAlign w:val="top"/>
          </w:tcPr>
          <w:p>
            <w:r/>
            <w:r>
              <w:rPr>
                <w:rFonts w:ascii="Arial" w:hAnsi="Arial"/>
                <w:b w:val="0"/>
                <w:sz w:val="18"/>
              </w:rPr>
              <w:t>Medium Priority</w:t>
            </w:r>
          </w:p>
        </w:tc>
        <w:tc>
          <w:tcPr>
            <w:tcW w:type="dxa" w:w="5040"/>
            <w:vAlign w:val="top"/>
          </w:tcPr>
          <w:p>
            <w:r/>
            <w:r>
              <w:rPr>
                <w:rFonts w:ascii="Arial" w:hAnsi="Arial"/>
                <w:b w:val="0"/>
                <w:sz w:val="18"/>
              </w:rPr>
              <w:t>0</w:t>
            </w:r>
          </w:p>
        </w:tc>
      </w:tr>
      <w:tr>
        <w:tc>
          <w:tcPr>
            <w:tcW w:type="dxa" w:w="5040"/>
            <w:vAlign w:val="top"/>
          </w:tcPr>
          <w:p>
            <w:r/>
            <w:r>
              <w:rPr>
                <w:rFonts w:ascii="Arial" w:hAnsi="Arial"/>
                <w:b w:val="0"/>
                <w:sz w:val="18"/>
              </w:rPr>
              <w:t>Low Priority</w:t>
            </w:r>
          </w:p>
        </w:tc>
        <w:tc>
          <w:tcPr>
            <w:tcW w:type="dxa" w:w="5040"/>
            <w:vAlign w:val="top"/>
          </w:tcPr>
          <w:p>
            <w:r/>
            <w:r>
              <w:rPr>
                <w:rFonts w:ascii="Arial" w:hAnsi="Arial"/>
                <w:b w:val="0"/>
                <w:sz w:val="18"/>
              </w:rPr>
              <w:t>0</w:t>
            </w:r>
          </w:p>
        </w:tc>
      </w:tr>
    </w:tbl>
    <w:p/>
    <w:p>
      <w:pPr>
        <w:pStyle w:val="Heading1"/>
      </w:pPr>
      <w:r>
        <w:t>2. Traceability Matrix</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Requirement</w:t>
            </w:r>
          </w:p>
        </w:tc>
        <w:tc>
          <w:tcPr>
            <w:tcW w:type="dxa" w:w="5040"/>
            <w:vAlign w:val="top"/>
            <w:shd w:fill="D9EAF7"/>
          </w:tcPr>
          <w:p>
            <w:r/>
            <w:r>
              <w:rPr>
                <w:rFonts w:ascii="Arial" w:hAnsi="Arial"/>
                <w:b/>
                <w:color w:val="0F2F57"/>
                <w:sz w:val="18"/>
              </w:rPr>
              <w:t>Test Cases</w:t>
            </w:r>
          </w:p>
        </w:tc>
      </w:tr>
      <w:tr>
        <w:tc>
          <w:tcPr>
            <w:tcW w:type="dxa" w:w="5040"/>
            <w:vAlign w:val="top"/>
          </w:tcPr>
          <w:p>
            <w:r/>
            <w:r>
              <w:rPr>
                <w:rFonts w:ascii="Arial" w:hAnsi="Arial"/>
                <w:b w:val="0"/>
                <w:sz w:val="18"/>
              </w:rPr>
              <w:t>FR-001</w:t>
            </w:r>
          </w:p>
        </w:tc>
        <w:tc>
          <w:tcPr>
            <w:tcW w:type="dxa" w:w="5040"/>
            <w:vAlign w:val="top"/>
          </w:tcPr>
          <w:p>
            <w:r/>
            <w:r>
              <w:rPr>
                <w:rFonts w:ascii="Arial" w:hAnsi="Arial"/>
                <w:b w:val="0"/>
                <w:sz w:val="18"/>
              </w:rPr>
              <w:t>TC-FR001-01, TC-FR001-02</w:t>
            </w:r>
          </w:p>
        </w:tc>
      </w:tr>
      <w:tr>
        <w:tc>
          <w:tcPr>
            <w:tcW w:type="dxa" w:w="5040"/>
            <w:vAlign w:val="top"/>
          </w:tcPr>
          <w:p>
            <w:r/>
            <w:r>
              <w:rPr>
                <w:rFonts w:ascii="Arial" w:hAnsi="Arial"/>
                <w:b w:val="0"/>
                <w:sz w:val="18"/>
              </w:rPr>
              <w:t>FR-002</w:t>
            </w:r>
          </w:p>
        </w:tc>
        <w:tc>
          <w:tcPr>
            <w:tcW w:type="dxa" w:w="5040"/>
            <w:vAlign w:val="top"/>
          </w:tcPr>
          <w:p>
            <w:r/>
            <w:r>
              <w:rPr>
                <w:rFonts w:ascii="Arial" w:hAnsi="Arial"/>
                <w:b w:val="0"/>
                <w:sz w:val="18"/>
              </w:rPr>
              <w:t>TC-FR002-01, TC-FR002-02</w:t>
            </w:r>
          </w:p>
        </w:tc>
      </w:tr>
      <w:tr>
        <w:tc>
          <w:tcPr>
            <w:tcW w:type="dxa" w:w="5040"/>
            <w:vAlign w:val="top"/>
          </w:tcPr>
          <w:p>
            <w:r/>
            <w:r>
              <w:rPr>
                <w:rFonts w:ascii="Arial" w:hAnsi="Arial"/>
                <w:b w:val="0"/>
                <w:sz w:val="18"/>
              </w:rPr>
              <w:t>FR-003</w:t>
            </w:r>
          </w:p>
        </w:tc>
        <w:tc>
          <w:tcPr>
            <w:tcW w:type="dxa" w:w="5040"/>
            <w:vAlign w:val="top"/>
          </w:tcPr>
          <w:p>
            <w:r/>
            <w:r>
              <w:rPr>
                <w:rFonts w:ascii="Arial" w:hAnsi="Arial"/>
                <w:b w:val="0"/>
                <w:sz w:val="18"/>
              </w:rPr>
              <w:t>TC-FR003-01, TC-FR003-02</w:t>
            </w:r>
          </w:p>
        </w:tc>
      </w:tr>
      <w:tr>
        <w:tc>
          <w:tcPr>
            <w:tcW w:type="dxa" w:w="5040"/>
            <w:vAlign w:val="top"/>
          </w:tcPr>
          <w:p>
            <w:r/>
            <w:r>
              <w:rPr>
                <w:rFonts w:ascii="Arial" w:hAnsi="Arial"/>
                <w:b w:val="0"/>
                <w:sz w:val="18"/>
              </w:rPr>
              <w:t>FR-004</w:t>
            </w:r>
          </w:p>
        </w:tc>
        <w:tc>
          <w:tcPr>
            <w:tcW w:type="dxa" w:w="5040"/>
            <w:vAlign w:val="top"/>
          </w:tcPr>
          <w:p>
            <w:r/>
            <w:r>
              <w:rPr>
                <w:rFonts w:ascii="Arial" w:hAnsi="Arial"/>
                <w:b w:val="0"/>
                <w:sz w:val="18"/>
              </w:rPr>
              <w:t>TC-FR004-01, TC-FR004-02</w:t>
            </w:r>
          </w:p>
        </w:tc>
      </w:tr>
      <w:tr>
        <w:tc>
          <w:tcPr>
            <w:tcW w:type="dxa" w:w="5040"/>
            <w:vAlign w:val="top"/>
          </w:tcPr>
          <w:p>
            <w:r/>
            <w:r>
              <w:rPr>
                <w:rFonts w:ascii="Arial" w:hAnsi="Arial"/>
                <w:b w:val="0"/>
                <w:sz w:val="18"/>
              </w:rPr>
              <w:t>FR-005</w:t>
            </w:r>
          </w:p>
        </w:tc>
        <w:tc>
          <w:tcPr>
            <w:tcW w:type="dxa" w:w="5040"/>
            <w:vAlign w:val="top"/>
          </w:tcPr>
          <w:p>
            <w:r/>
            <w:r>
              <w:rPr>
                <w:rFonts w:ascii="Arial" w:hAnsi="Arial"/>
                <w:b w:val="0"/>
                <w:sz w:val="18"/>
              </w:rPr>
              <w:t>TC-FR005-01, TC-FR005-02</w:t>
            </w:r>
          </w:p>
        </w:tc>
      </w:tr>
      <w:tr>
        <w:tc>
          <w:tcPr>
            <w:tcW w:type="dxa" w:w="5040"/>
            <w:vAlign w:val="top"/>
          </w:tcPr>
          <w:p>
            <w:r/>
            <w:r>
              <w:rPr>
                <w:rFonts w:ascii="Arial" w:hAnsi="Arial"/>
                <w:b w:val="0"/>
                <w:sz w:val="18"/>
              </w:rPr>
              <w:t>FR-006</w:t>
            </w:r>
          </w:p>
        </w:tc>
        <w:tc>
          <w:tcPr>
            <w:tcW w:type="dxa" w:w="5040"/>
            <w:vAlign w:val="top"/>
          </w:tcPr>
          <w:p>
            <w:r/>
            <w:r>
              <w:rPr>
                <w:rFonts w:ascii="Arial" w:hAnsi="Arial"/>
                <w:b w:val="0"/>
                <w:sz w:val="18"/>
              </w:rPr>
              <w:t>TC-FR006-01, TC-FR006-02</w:t>
            </w:r>
          </w:p>
        </w:tc>
      </w:tr>
      <w:tr>
        <w:tc>
          <w:tcPr>
            <w:tcW w:type="dxa" w:w="5040"/>
            <w:vAlign w:val="top"/>
          </w:tcPr>
          <w:p>
            <w:r/>
            <w:r>
              <w:rPr>
                <w:rFonts w:ascii="Arial" w:hAnsi="Arial"/>
                <w:b w:val="0"/>
                <w:sz w:val="18"/>
              </w:rPr>
              <w:t>FR-007</w:t>
            </w:r>
          </w:p>
        </w:tc>
        <w:tc>
          <w:tcPr>
            <w:tcW w:type="dxa" w:w="5040"/>
            <w:vAlign w:val="top"/>
          </w:tcPr>
          <w:p>
            <w:r/>
            <w:r>
              <w:rPr>
                <w:rFonts w:ascii="Arial" w:hAnsi="Arial"/>
                <w:b w:val="0"/>
                <w:sz w:val="18"/>
              </w:rPr>
              <w:t>TC-FR007-01, TC-FR007-02</w:t>
            </w:r>
          </w:p>
        </w:tc>
      </w:tr>
      <w:tr>
        <w:tc>
          <w:tcPr>
            <w:tcW w:type="dxa" w:w="5040"/>
            <w:vAlign w:val="top"/>
          </w:tcPr>
          <w:p>
            <w:r/>
            <w:r>
              <w:rPr>
                <w:rFonts w:ascii="Arial" w:hAnsi="Arial"/>
                <w:b w:val="0"/>
                <w:sz w:val="18"/>
              </w:rPr>
              <w:t>FR-008</w:t>
            </w:r>
          </w:p>
        </w:tc>
        <w:tc>
          <w:tcPr>
            <w:tcW w:type="dxa" w:w="5040"/>
            <w:vAlign w:val="top"/>
          </w:tcPr>
          <w:p>
            <w:r/>
            <w:r>
              <w:rPr>
                <w:rFonts w:ascii="Arial" w:hAnsi="Arial"/>
                <w:b w:val="0"/>
                <w:sz w:val="18"/>
              </w:rPr>
              <w:t>TC-FR008-01, TC-FR008-02</w:t>
            </w:r>
          </w:p>
        </w:tc>
      </w:tr>
      <w:tr>
        <w:tc>
          <w:tcPr>
            <w:tcW w:type="dxa" w:w="5040"/>
            <w:vAlign w:val="top"/>
          </w:tcPr>
          <w:p>
            <w:r/>
            <w:r>
              <w:rPr>
                <w:rFonts w:ascii="Arial" w:hAnsi="Arial"/>
                <w:b w:val="0"/>
                <w:sz w:val="18"/>
              </w:rPr>
              <w:t>FR-009</w:t>
            </w:r>
          </w:p>
        </w:tc>
        <w:tc>
          <w:tcPr>
            <w:tcW w:type="dxa" w:w="5040"/>
            <w:vAlign w:val="top"/>
          </w:tcPr>
          <w:p>
            <w:r/>
            <w:r>
              <w:rPr>
                <w:rFonts w:ascii="Arial" w:hAnsi="Arial"/>
                <w:b w:val="0"/>
                <w:sz w:val="18"/>
              </w:rPr>
              <w:t>TC-FR009-01, TC-FR009-02</w:t>
            </w:r>
          </w:p>
        </w:tc>
      </w:tr>
      <w:tr>
        <w:tc>
          <w:tcPr>
            <w:tcW w:type="dxa" w:w="5040"/>
            <w:vAlign w:val="top"/>
          </w:tcPr>
          <w:p>
            <w:r/>
            <w:r>
              <w:rPr>
                <w:rFonts w:ascii="Arial" w:hAnsi="Arial"/>
                <w:b w:val="0"/>
                <w:sz w:val="18"/>
              </w:rPr>
              <w:t>FR-010</w:t>
            </w:r>
          </w:p>
        </w:tc>
        <w:tc>
          <w:tcPr>
            <w:tcW w:type="dxa" w:w="5040"/>
            <w:vAlign w:val="top"/>
          </w:tcPr>
          <w:p>
            <w:r/>
            <w:r>
              <w:rPr>
                <w:rFonts w:ascii="Arial" w:hAnsi="Arial"/>
                <w:b w:val="0"/>
                <w:sz w:val="18"/>
              </w:rPr>
              <w:t>TC-FR010-01, TC-FR010-02</w:t>
            </w:r>
          </w:p>
        </w:tc>
      </w:tr>
      <w:tr>
        <w:tc>
          <w:tcPr>
            <w:tcW w:type="dxa" w:w="5040"/>
            <w:vAlign w:val="top"/>
          </w:tcPr>
          <w:p>
            <w:r/>
            <w:r>
              <w:rPr>
                <w:rFonts w:ascii="Arial" w:hAnsi="Arial"/>
                <w:b w:val="0"/>
                <w:sz w:val="18"/>
              </w:rPr>
              <w:t>FR-011</w:t>
            </w:r>
          </w:p>
        </w:tc>
        <w:tc>
          <w:tcPr>
            <w:tcW w:type="dxa" w:w="5040"/>
            <w:vAlign w:val="top"/>
          </w:tcPr>
          <w:p>
            <w:r/>
            <w:r>
              <w:rPr>
                <w:rFonts w:ascii="Arial" w:hAnsi="Arial"/>
                <w:b w:val="0"/>
                <w:sz w:val="18"/>
              </w:rPr>
              <w:t>TC-FR011-01, TC-FR011-02</w:t>
            </w:r>
          </w:p>
        </w:tc>
      </w:tr>
      <w:tr>
        <w:tc>
          <w:tcPr>
            <w:tcW w:type="dxa" w:w="5040"/>
            <w:vAlign w:val="top"/>
          </w:tcPr>
          <w:p>
            <w:r/>
            <w:r>
              <w:rPr>
                <w:rFonts w:ascii="Arial" w:hAnsi="Arial"/>
                <w:b w:val="0"/>
                <w:sz w:val="18"/>
              </w:rPr>
              <w:t>FR-012</w:t>
            </w:r>
          </w:p>
        </w:tc>
        <w:tc>
          <w:tcPr>
            <w:tcW w:type="dxa" w:w="5040"/>
            <w:vAlign w:val="top"/>
          </w:tcPr>
          <w:p>
            <w:r/>
            <w:r>
              <w:rPr>
                <w:rFonts w:ascii="Arial" w:hAnsi="Arial"/>
                <w:b w:val="0"/>
                <w:sz w:val="18"/>
              </w:rPr>
              <w:t>TC-FR012-01, TC-FR012-02</w:t>
            </w:r>
          </w:p>
        </w:tc>
      </w:tr>
      <w:tr>
        <w:tc>
          <w:tcPr>
            <w:tcW w:type="dxa" w:w="5040"/>
            <w:vAlign w:val="top"/>
          </w:tcPr>
          <w:p>
            <w:r/>
            <w:r>
              <w:rPr>
                <w:rFonts w:ascii="Arial" w:hAnsi="Arial"/>
                <w:b w:val="0"/>
                <w:sz w:val="18"/>
              </w:rPr>
              <w:t>FR-013</w:t>
            </w:r>
          </w:p>
        </w:tc>
        <w:tc>
          <w:tcPr>
            <w:tcW w:type="dxa" w:w="5040"/>
            <w:vAlign w:val="top"/>
          </w:tcPr>
          <w:p>
            <w:r/>
            <w:r>
              <w:rPr>
                <w:rFonts w:ascii="Arial" w:hAnsi="Arial"/>
                <w:b w:val="0"/>
                <w:sz w:val="18"/>
              </w:rPr>
              <w:t>TC-FR013-01, TC-FR013-02</w:t>
            </w:r>
          </w:p>
        </w:tc>
      </w:tr>
      <w:tr>
        <w:tc>
          <w:tcPr>
            <w:tcW w:type="dxa" w:w="5040"/>
            <w:vAlign w:val="top"/>
          </w:tcPr>
          <w:p>
            <w:r/>
            <w:r>
              <w:rPr>
                <w:rFonts w:ascii="Arial" w:hAnsi="Arial"/>
                <w:b w:val="0"/>
                <w:sz w:val="18"/>
              </w:rPr>
              <w:t>FR-014</w:t>
            </w:r>
          </w:p>
        </w:tc>
        <w:tc>
          <w:tcPr>
            <w:tcW w:type="dxa" w:w="5040"/>
            <w:vAlign w:val="top"/>
          </w:tcPr>
          <w:p>
            <w:r/>
            <w:r>
              <w:rPr>
                <w:rFonts w:ascii="Arial" w:hAnsi="Arial"/>
                <w:b w:val="0"/>
                <w:sz w:val="18"/>
              </w:rPr>
              <w:t>TC-FR014-01, TC-FR014-02</w:t>
            </w:r>
          </w:p>
        </w:tc>
      </w:tr>
      <w:tr>
        <w:tc>
          <w:tcPr>
            <w:tcW w:type="dxa" w:w="5040"/>
            <w:vAlign w:val="top"/>
          </w:tcPr>
          <w:p>
            <w:r/>
            <w:r>
              <w:rPr>
                <w:rFonts w:ascii="Arial" w:hAnsi="Arial"/>
                <w:b w:val="0"/>
                <w:sz w:val="18"/>
              </w:rPr>
              <w:t>FR-015</w:t>
            </w:r>
          </w:p>
        </w:tc>
        <w:tc>
          <w:tcPr>
            <w:tcW w:type="dxa" w:w="5040"/>
            <w:vAlign w:val="top"/>
          </w:tcPr>
          <w:p>
            <w:r/>
            <w:r>
              <w:rPr>
                <w:rFonts w:ascii="Arial" w:hAnsi="Arial"/>
                <w:b w:val="0"/>
                <w:sz w:val="18"/>
              </w:rPr>
              <w:t>TC-FR015-01, TC-FR015-02</w:t>
            </w:r>
          </w:p>
        </w:tc>
      </w:tr>
      <w:tr>
        <w:tc>
          <w:tcPr>
            <w:tcW w:type="dxa" w:w="5040"/>
            <w:vAlign w:val="top"/>
          </w:tcPr>
          <w:p>
            <w:r/>
            <w:r>
              <w:rPr>
                <w:rFonts w:ascii="Arial" w:hAnsi="Arial"/>
                <w:b w:val="0"/>
                <w:sz w:val="18"/>
              </w:rPr>
              <w:t>FR-016</w:t>
            </w:r>
          </w:p>
        </w:tc>
        <w:tc>
          <w:tcPr>
            <w:tcW w:type="dxa" w:w="5040"/>
            <w:vAlign w:val="top"/>
          </w:tcPr>
          <w:p>
            <w:r/>
            <w:r>
              <w:rPr>
                <w:rFonts w:ascii="Arial" w:hAnsi="Arial"/>
                <w:b w:val="0"/>
                <w:sz w:val="18"/>
              </w:rPr>
              <w:t>TC-FR016-01, TC-FR016-02</w:t>
            </w:r>
          </w:p>
        </w:tc>
      </w:tr>
      <w:tr>
        <w:tc>
          <w:tcPr>
            <w:tcW w:type="dxa" w:w="5040"/>
            <w:vAlign w:val="top"/>
          </w:tcPr>
          <w:p>
            <w:r/>
            <w:r>
              <w:rPr>
                <w:rFonts w:ascii="Arial" w:hAnsi="Arial"/>
                <w:b w:val="0"/>
                <w:sz w:val="18"/>
              </w:rPr>
              <w:t>FR-017</w:t>
            </w:r>
          </w:p>
        </w:tc>
        <w:tc>
          <w:tcPr>
            <w:tcW w:type="dxa" w:w="5040"/>
            <w:vAlign w:val="top"/>
          </w:tcPr>
          <w:p>
            <w:r/>
            <w:r>
              <w:rPr>
                <w:rFonts w:ascii="Arial" w:hAnsi="Arial"/>
                <w:b w:val="0"/>
                <w:sz w:val="18"/>
              </w:rPr>
              <w:t>TC-FR017-01, TC-FR017-02</w:t>
            </w:r>
          </w:p>
        </w:tc>
      </w:tr>
      <w:tr>
        <w:tc>
          <w:tcPr>
            <w:tcW w:type="dxa" w:w="5040"/>
            <w:vAlign w:val="top"/>
          </w:tcPr>
          <w:p>
            <w:r/>
            <w:r>
              <w:rPr>
                <w:rFonts w:ascii="Arial" w:hAnsi="Arial"/>
                <w:b w:val="0"/>
                <w:sz w:val="18"/>
              </w:rPr>
              <w:t>FR-018</w:t>
            </w:r>
          </w:p>
        </w:tc>
        <w:tc>
          <w:tcPr>
            <w:tcW w:type="dxa" w:w="5040"/>
            <w:vAlign w:val="top"/>
          </w:tcPr>
          <w:p>
            <w:r/>
            <w:r>
              <w:rPr>
                <w:rFonts w:ascii="Arial" w:hAnsi="Arial"/>
                <w:b w:val="0"/>
                <w:sz w:val="18"/>
              </w:rPr>
              <w:t>TC-FR018-01, TC-FR018-02</w:t>
            </w:r>
          </w:p>
        </w:tc>
      </w:tr>
      <w:tr>
        <w:tc>
          <w:tcPr>
            <w:tcW w:type="dxa" w:w="5040"/>
            <w:vAlign w:val="top"/>
          </w:tcPr>
          <w:p>
            <w:r/>
            <w:r>
              <w:rPr>
                <w:rFonts w:ascii="Arial" w:hAnsi="Arial"/>
                <w:b w:val="0"/>
                <w:sz w:val="18"/>
              </w:rPr>
              <w:t>Cross-feature boundaries and permissions</w:t>
            </w:r>
          </w:p>
        </w:tc>
        <w:tc>
          <w:tcPr>
            <w:tcW w:type="dxa" w:w="5040"/>
            <w:vAlign w:val="top"/>
          </w:tcPr>
          <w:p>
            <w:r/>
            <w:r>
              <w:rPr>
                <w:rFonts w:ascii="Arial" w:hAnsi="Arial"/>
                <w:b w:val="0"/>
                <w:sz w:val="18"/>
              </w:rPr>
              <w:t>TC-DASH-BOUNDARY-01, TC-DASH-PERM-01, TC-DASH-INTEGRATION-01, TC-DASH-GOV-01, TC-DASH-PRIVACY-01</w:t>
            </w:r>
          </w:p>
        </w:tc>
      </w:tr>
    </w:tbl>
    <w:p/>
    <w:p>
      <w:pPr>
        <w:pStyle w:val="Heading1"/>
      </w:pPr>
      <w:r>
        <w:t>3. Test Cases by Functional Requirement</w:t>
      </w:r>
    </w:p>
    <w:p>
      <w:pPr>
        <w:pStyle w:val="Heading1"/>
      </w:pPr>
      <w:r>
        <w:t>FR-001: Senior Officer Dashboard Entry Point</w:t>
      </w:r>
    </w:p>
    <w:p>
      <w:pPr>
        <w:pStyle w:val="Heading2"/>
      </w:pPr>
      <w:r>
        <w:t>TC-FR001-01: Happy path - Senior Officer Dashboard Entry Point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TC-FR001-01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Senior Officer Dashboard Entry Point</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FR-001</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Senior Officer Dashboard Entry Point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Senior Officer Dashboard Entry Point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TC-FR001-02: Negative/edge - Senior Officer Dashboard Entry Point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TC-FR001-02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Senior Officer Dashboard Entry Point</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FR-001</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FR-002: Period, Scope, and Dimension Filters</w:t>
      </w:r>
    </w:p>
    <w:p>
      <w:pPr>
        <w:pStyle w:val="Heading2"/>
      </w:pPr>
      <w:r>
        <w:t>TC-FR002-01: Happy path - Period, Scope, and Dimension Filters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TC-FR002-01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Period, Scope, and Dimension Filters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FR-002</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Period, Scope, and Dimension Filters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Period, Scope, and Dimension Filters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TC-FR002-02: Negative/edge - Period, Scope, and Dimension Filters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TC-FR002-02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Period, Scope, and Dimension Filters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FR-002</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FR-003: User Productivity Metrics</w:t>
      </w:r>
    </w:p>
    <w:p>
      <w:pPr>
        <w:pStyle w:val="Heading2"/>
      </w:pPr>
      <w:r>
        <w:t>TC-FR003-01: Happy path - User Productivity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TC-FR003-01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User Productivity Metrics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FR-003</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User Productivity Metrics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User Productivity Metrics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TC-FR003-02: Negative/edge - User Productivity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TC-FR003-02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User Productivity Metrics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FR-003</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FR-004: Complaint-to-FIR Draft Processing Metrics</w:t>
      </w:r>
    </w:p>
    <w:p>
      <w:pPr>
        <w:pStyle w:val="Heading2"/>
      </w:pPr>
      <w:r>
        <w:t>TC-FR004-01: Happy path - Complaint-to-FIR Draft Processing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TC-FR004-01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Complaint-to-FIR Draft Processing Metrics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FR-004</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Complaint-to-FIR Draft Processing Metrics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Complaint-to-FIR Draft Processing Metrics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TC-FR004-02: Negative/edge - Complaint-to-FIR Draft Processing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TC-FR004-02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Complaint-to-FIR Draft Processing Metrics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FR-004</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FR-005: Complaint-to-FIR and Investigation Lifecycle Funnel</w:t>
      </w:r>
    </w:p>
    <w:p>
      <w:pPr>
        <w:pStyle w:val="Heading2"/>
      </w:pPr>
      <w:r>
        <w:t>TC-FR005-01: Happy path - Complaint-to-FIR and Investigation Lifecycle Funnel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TC-FR005-01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Complaint-to-FIR and Investigation Lifecycle Funnel</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FR-005</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Complaint-to-FIR and Investigation Lifecycle Funnel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Complaint-to-FIR and Investigation Lifecycle Funnel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TC-FR005-02: Negative/edge - Complaint-to-FIR and Investigation Lifecycle Funnel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TC-FR005-02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Complaint-to-FIR and Investigation Lifecycle Funnel</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FR-005</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FR-006: FIR Draft and Generated Document Analytics</w:t>
      </w:r>
    </w:p>
    <w:p>
      <w:pPr>
        <w:pStyle w:val="Heading2"/>
      </w:pPr>
      <w:r>
        <w:t>TC-FR006-01: Happy path - FIR Draft and Generated Document Analytics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TC-FR006-01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FIR Draft and Generated Document Analytics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FR-006</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FIR Draft and Generated Document Analytics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FIR Draft and Generated Document Analytics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TC-FR006-02: Negative/edge - FIR Draft and Generated Document Analytics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TC-FR006-02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FIR Draft and Generated Document Analytics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FR-006</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FR-007: Feature Adoption and AI Effectiveness</w:t>
      </w:r>
    </w:p>
    <w:p>
      <w:pPr>
        <w:pStyle w:val="Heading2"/>
      </w:pPr>
      <w:r>
        <w:t>TC-FR007-01: Happy path - Feature Adoption and AI Effectiveness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TC-FR007-01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Feature Adoption and AI Effectiveness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FR-007</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Feature Adoption and AI Effectiveness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Feature Adoption and AI Effectiveness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TC-FR007-02: Negative/edge - Feature Adoption and AI Effectiveness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TC-FR007-02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Feature Adoption and AI Effectiveness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FR-007</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FR-008: Station Comparison and Cohort Benchmarking</w:t>
      </w:r>
    </w:p>
    <w:p>
      <w:pPr>
        <w:pStyle w:val="Heading2"/>
      </w:pPr>
      <w:r>
        <w:t>TC-FR008-01: Happy path - Station Comparison and Cohort Benchmarking</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TC-FR008-01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Station Comparison and Cohort Benchmarking</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FR-008</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Station Comparison and Cohort Benchmarking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Station Comparison and Cohort Benchmarking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TC-FR008-02: Negative/edge - Station Comparison and Cohort Benchmarking</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TC-FR008-02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Station Comparison and Cohort Benchmarking</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FR-008</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FR-009: Officer Detail and Case Metadata Drill-Down</w:t>
      </w:r>
    </w:p>
    <w:p>
      <w:pPr>
        <w:pStyle w:val="Heading2"/>
      </w:pPr>
      <w:r>
        <w:t>TC-FR009-01: Happy path - Officer Detail and Case Metadata Drill-Down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TC-FR009-01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Officer Detail and Case Metadata Drill-Down</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FR-009</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Officer Detail and Case Metadata Drill-Down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Officer Detail and Case Metadata Drill-Down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TC-FR009-02: Negative/edge - Officer Detail and Case Metadata Drill-Down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TC-FR009-02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Officer Detail and Case Metadata Drill-Down</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FR-009</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FR-010: Bottleneck Detection and Alerts</w:t>
      </w:r>
    </w:p>
    <w:p>
      <w:pPr>
        <w:pStyle w:val="Heading2"/>
      </w:pPr>
      <w:r>
        <w:t>TC-FR010-01: Happy path - Bottleneck Detection and Alerts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TC-FR010-01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Bottleneck Detection and Alerts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FR-010</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Bottleneck Detection and Alerts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Bottleneck Detection and Alerts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TC-FR010-02: Negative/edge - Bottleneck Detection and Alerts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TC-FR010-02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Bottleneck Detection and Alerts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FR-010</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FR-011: Report Export and Scheduled Reports</w:t>
      </w:r>
    </w:p>
    <w:p>
      <w:pPr>
        <w:pStyle w:val="Heading2"/>
      </w:pPr>
      <w:r>
        <w:t>TC-FR011-01: Happy path - Report Export and Scheduled Reports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TC-FR011-01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Report Export and Scheduled Reports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FR-011</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Report Export and Scheduled Reports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Report Export and Scheduled Reports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TC-FR011-02: Negative/edge - Report Export and Scheduled Reports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TC-FR011-02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Report Export and Scheduled Reports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FR-011</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FR-012: Metric Definition and Data Quality Transparency</w:t>
      </w:r>
    </w:p>
    <w:p>
      <w:pPr>
        <w:pStyle w:val="Heading2"/>
      </w:pPr>
      <w:r>
        <w:t>TC-FR012-01: Happy path - Metric Definition and Data Quality Transparency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TC-FR012-01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Metric Definition and Data Quality Transparency</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FR-012</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Metric Definition and Data Quality Transparency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Metric Definition and Data Quality Transparency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TC-FR012-02: Negative/edge - Metric Definition and Data Quality Transparency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TC-FR012-02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Metric Definition and Data Quality Transparency</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FR-012</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FR-013: Data Refresh and Aggregation</w:t>
      </w:r>
    </w:p>
    <w:p>
      <w:pPr>
        <w:pStyle w:val="Heading2"/>
      </w:pPr>
      <w:r>
        <w:t>TC-FR013-01: Happy path - Data Refresh and Aggregation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TC-FR013-01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Data Refresh and Aggregation</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FR-013</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Data Refresh and Aggregation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Data Refresh and Aggregation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TC-FR013-02: Negative/edge - Data Refresh and Aggregation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TC-FR013-02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Data Refresh and Aggregation</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FR-013</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FR-014: Privacy, Authorization, and Audit Controls</w:t>
      </w:r>
    </w:p>
    <w:p>
      <w:pPr>
        <w:pStyle w:val="Heading2"/>
      </w:pPr>
      <w:r>
        <w:t>TC-FR014-01: Happy path - Privacy, Authorization, and Audit Controls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TC-FR014-01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Privacy, Authorization, and Audit Controls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FR-014</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Privacy, Authorization, and Audit Controls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Privacy, Authorization, and Audit Controls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TC-FR014-02: Negative/edge - Privacy, Authorization, and Audit Controls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TC-FR014-02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Privacy, Authorization, and Audit Controls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FR-014</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FR-015: Training and Adoption Recommendations</w:t>
      </w:r>
    </w:p>
    <w:p>
      <w:pPr>
        <w:pStyle w:val="Heading2"/>
      </w:pPr>
      <w:r>
        <w:t>TC-FR015-01: Happy path - Training and Adoption Recommendations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TC-FR015-01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Training and Adoption Recommendations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FR-015</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Training and Adoption Recommendations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Training and Adoption Recommendations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TC-FR015-02: Negative/edge - Training and Adoption Recommendations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TC-FR015-02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Training and Adoption Recommendations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FR-015</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FR-016: Predictive Bottleneck Signal</w:t>
      </w:r>
    </w:p>
    <w:p>
      <w:pPr>
        <w:pStyle w:val="Heading2"/>
      </w:pPr>
      <w:r>
        <w:t>TC-FR016-01: Happy path - Predictive Bottleneck Signal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TC-FR016-01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Predictive Bottleneck Signal</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FR-016</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Predictive Bottleneck Signal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Predictive Bottleneck Signal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TC-FR016-02: Negative/edge - Predictive Bottleneck Signal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TC-FR016-02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Predictive Bottleneck Signal</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FR-016</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FR-017: Metric Legitimacy, Challenge, and Correction</w:t>
      </w:r>
    </w:p>
    <w:p>
      <w:pPr>
        <w:pStyle w:val="Heading2"/>
      </w:pPr>
      <w:r>
        <w:t>TC-FR017-01: Happy path - Metric Legitimacy, Challenge, and Correction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TC-FR017-01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Metric Legitimacy, Challenge, and Correction</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FR-017</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Metric Legitimacy, Challenge, and Correction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Metric Legitimacy, Challenge, and Correction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TC-FR017-02: Negative/edge - Metric Legitimacy, Challenge, and Correction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TC-FR017-02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Metric Legitimacy, Challenge, and Correction</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FR-017</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1"/>
      </w:pPr>
      <w:r>
        <w:t>FR-018: MVP Rollout and Field Validation Controls</w:t>
      </w:r>
    </w:p>
    <w:p>
      <w:pPr>
        <w:pStyle w:val="Heading2"/>
      </w:pPr>
      <w:r>
        <w:t>TC-FR018-01: Happy path - MVP Rollout and Field Validation Controls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TC-FR018-01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Happy path - MVP Rollout and Field Validation Controls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Happy Path</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FR-018</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and seeded operational data exist.</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Open Senior Dashboard.</w:t>
              <w:br/>
              <w:t>2. Apply valid scope and period.</w:t>
              <w:br/>
              <w:t>3. Use MVP Rollout and Field Validation Controls feature.</w:t>
              <w:br/>
              <w:t>4. Inspect metric definition/freshness/confidence.</w:t>
              <w:br/>
              <w:t>5. Verify audit-safe payload.</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Period=last_30_days; Station=ps_abids; Officer=HCP2088 where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MVP Rollout and Field Validation Controls renders correct scoped metrics. No PII appears. Confidence/freshness metadata is present when required.</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access is auditable.</w:t>
            </w:r>
          </w:p>
        </w:tc>
      </w:tr>
    </w:tbl>
    <w:p/>
    <w:p>
      <w:pPr>
        <w:pStyle w:val="Heading2"/>
      </w:pPr>
      <w:r>
        <w:t>TC-FR018-02: Negative/edge - MVP Rollout and Field Validation Controls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TC-FR018-02</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Negative/edge - MVP Rollout and Field Validation Controls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Negative</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FR-018</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Authorized user exists plus out-of-scope and empty-result data.</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Use an out-of-scope filter.</w:t>
              <w:br/>
              <w:t>2. Use an empty-result filter.</w:t>
              <w:br/>
              <w:t>3. Submit invalid input if feature accepts input.</w:t>
              <w:br/>
              <w:t>4. Verify error and zero states.</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Out-of-scope station=ps_other; invalid date range; PII in governance text if applicable.</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Unauthorized scope is denied, empty result is stable, invalid input gives standardized error, and no restricted data leaks.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invalid data is persisted.</w:t>
            </w:r>
          </w:p>
        </w:tc>
      </w:tr>
    </w:tbl>
    <w:p/>
    <w:p>
      <w:pPr>
        <w:pStyle w:val="Heading2"/>
      </w:pPr>
      <w:r>
        <w:t>TC-DASH-BOUNDARY-01: Custom date range boundaries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TC-DASH-BOUNDARY-01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Custom date range boundaries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Boundary</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FR-002</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High</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 has dashboard access.</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Submit a custom date range of exactly 366 days.</w:t>
              <w:br/>
              <w:t>2. Submit 367 days.</w:t>
              <w:br/>
              <w:t>3. Submit date_from one day after date_to.</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date_from=2025-05-05, date_to=2026-05-05; date_from=2025-05-04, date_to=2026-05-05; date_from=2026-05-06, date_to=2026-05-05.</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Exactly 366 days is accepted. 367 days and reversed date range return VALIDATION_ERROR with field date_from/date_to.</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No metric snapshot is created for invalid ranges.</w:t>
            </w:r>
          </w:p>
        </w:tc>
      </w:tr>
    </w:tbl>
    <w:p/>
    <w:p>
      <w:pPr>
        <w:pStyle w:val="Heading2"/>
      </w:pPr>
      <w:r>
        <w:t>TC-DASH-PERM-01: Role scope authorization matrix</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TC-DASH-PERM-01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Role scope authorization matrix</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Permission</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FR-001, FR-014</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Users exist for Senior_Command, Zone_Officer, SHO, AI_Admin, System_Admin, IO, and Clerk roles.</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Call overview as each role.</w:t>
              <w:br/>
              <w:t>2. Verify default scope for each role.</w:t>
              <w:br/>
              <w:t>3. Attempt city-wide scope as IO and Clerk.</w:t>
              <w:br/>
              <w:t>4. Attempt AI metric view as AI_Admin.</w:t>
              <w:br/>
              <w:t>5. Attempt threshold configuration as non-System_Admin.</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Roles: Senior_Command, Zone_Officer, SHO, AI_Admin, System_Admin, IO, Clerk.</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Authorized scopes succeed. IO and Clerk cannot view other users. AI_Admin sees AI/adoption metrics only. Threshold mutation is allowed only for System_Admin.</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Authorization failures are logged without returning restricted metric payloads.</w:t>
            </w:r>
          </w:p>
        </w:tc>
      </w:tr>
    </w:tbl>
    <w:p/>
    <w:p>
      <w:pPr>
        <w:pStyle w:val="Heading2"/>
      </w:pPr>
      <w:r>
        <w:t>TC-DASH-INTEGRATION-01: Complaint intake to FIR draft lifecycle journey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TC-DASH-INTEGRATION-01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Complaint intake to FIR draft lifecycle journey</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Integration</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FR-003, FR-004, FR-005, FR-006, FR-012</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 complaint parse record, case, FIR draft generated document, status transition, and usage events are linked to the same workflow.</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Create or seed complaint parse record.</w:t>
              <w:br/>
              <w:t>2. Create case linked to the complaint.</w:t>
              <w:br/>
              <w:t>3. Generate FIR draft.</w:t>
              <w:br/>
              <w:t>4. Transition case to FIR_Registered.</w:t>
              <w:br/>
              <w:t>5. Open processing-times and lifecycle dashboard.</w:t>
              <w:br/>
              <w:t>6. Open the case metadata drill-down.</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Complaint file complaint_001.pdf; Case case_001; Generated document subtype FIR_Draft.</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FIR draft count increments by one. Complaint-to-FIR-draft minutes equals first draft timestamp minus first intake timestamp. Lifecycle funnel shows FIR_Registered. Drill-down shows metadata only and no raw complaint text.</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Dashboard source warning is absent when all links are high confidence.</w:t>
            </w:r>
          </w:p>
        </w:tc>
      </w:tr>
    </w:tbl>
    <w:p/>
    <w:p>
      <w:pPr>
        <w:pStyle w:val="Heading2"/>
      </w:pPr>
      <w:r>
        <w:t>TC-DASH-GOV-01: Metric dispute correction supersedes export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TC-DASH-GOV-01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Metric dispute correction supersedes export</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Integration</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FR-011, FR-017</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A completed officer usage export exists and a metric row has incorrect officer attribution.</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Submit a metric dispute with reason wrong_assignment.</w:t>
              <w:br/>
              <w:t>2. Approve the dispute as System_Admin.</w:t>
              <w:br/>
              <w:t>3. Create DashboardMetricCorrection.</w:t>
              <w:br/>
              <w:t>4. Check prior export status.</w:t>
              <w:br/>
              <w:t>5. Request corrected export.</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Metric: cases_created; Original count 7; Corrected count 6; Reason: wrong_assignment.</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Dispute status becomes accepted/corrected. Original and corrected values are retained. Prior export is marked superseded. Requester receives in-app notification. New export includes corrected value and permitted-use watermark.</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Audit trail distinguishes original, disputed, corrected, and superseded states.</w:t>
            </w:r>
          </w:p>
        </w:tc>
      </w:tr>
    </w:tbl>
    <w:p/>
    <w:p>
      <w:pPr>
        <w:pStyle w:val="Heading2"/>
      </w:pPr>
      <w:r>
        <w:t>TC-DASH-PRIVACY-01: PII exclusion in APIs and exports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Field</w:t>
            </w:r>
          </w:p>
        </w:tc>
        <w:tc>
          <w:tcPr>
            <w:tcW w:type="dxa" w:w="5040"/>
            <w:vAlign w:val="top"/>
            <w:shd w:fill="D9EAF7"/>
          </w:tcPr>
          <w:p>
            <w:r/>
            <w:r>
              <w:rPr>
                <w:rFonts w:ascii="Arial" w:hAnsi="Arial"/>
                <w:b/>
                <w:color w:val="0F2F57"/>
                <w:sz w:val="18"/>
              </w:rPr>
              <w:t>Value</w:t>
            </w:r>
          </w:p>
        </w:tc>
      </w:tr>
      <w:tr>
        <w:tc>
          <w:tcPr>
            <w:tcW w:type="dxa" w:w="5040"/>
            <w:vAlign w:val="top"/>
          </w:tcPr>
          <w:p>
            <w:r/>
            <w:r>
              <w:rPr>
                <w:rFonts w:ascii="Arial" w:hAnsi="Arial"/>
                <w:b w:val="0"/>
                <w:sz w:val="18"/>
              </w:rPr>
              <w:t>Test ID</w:t>
            </w:r>
          </w:p>
        </w:tc>
        <w:tc>
          <w:tcPr>
            <w:tcW w:type="dxa" w:w="5040"/>
            <w:vAlign w:val="top"/>
          </w:tcPr>
          <w:p>
            <w:r/>
            <w:r>
              <w:rPr>
                <w:rFonts w:ascii="Arial" w:hAnsi="Arial"/>
                <w:b w:val="0"/>
                <w:sz w:val="18"/>
              </w:rPr>
              <w:t>TC-DASH-PRIVACY-01</w:t>
            </w:r>
          </w:p>
        </w:tc>
      </w:tr>
      <w:tr>
        <w:tc>
          <w:tcPr>
            <w:tcW w:type="dxa" w:w="5040"/>
            <w:vAlign w:val="top"/>
          </w:tcPr>
          <w:p>
            <w:r/>
            <w:r>
              <w:rPr>
                <w:rFonts w:ascii="Arial" w:hAnsi="Arial"/>
                <w:b w:val="0"/>
                <w:sz w:val="18"/>
              </w:rPr>
              <w:t>Test Name</w:t>
            </w:r>
          </w:p>
        </w:tc>
        <w:tc>
          <w:tcPr>
            <w:tcW w:type="dxa" w:w="5040"/>
            <w:vAlign w:val="top"/>
          </w:tcPr>
          <w:p>
            <w:r/>
            <w:r>
              <w:rPr>
                <w:rFonts w:ascii="Arial" w:hAnsi="Arial"/>
                <w:b w:val="0"/>
                <w:sz w:val="18"/>
              </w:rPr>
              <w:t>PII exclusion in APIs and exports</w:t>
            </w:r>
          </w:p>
        </w:tc>
      </w:tr>
      <w:tr>
        <w:tc>
          <w:tcPr>
            <w:tcW w:type="dxa" w:w="5040"/>
            <w:vAlign w:val="top"/>
          </w:tcPr>
          <w:p>
            <w:r/>
            <w:r>
              <w:rPr>
                <w:rFonts w:ascii="Arial" w:hAnsi="Arial"/>
                <w:b w:val="0"/>
                <w:sz w:val="18"/>
              </w:rPr>
              <w:t>Category</w:t>
            </w:r>
          </w:p>
        </w:tc>
        <w:tc>
          <w:tcPr>
            <w:tcW w:type="dxa" w:w="5040"/>
            <w:vAlign w:val="top"/>
          </w:tcPr>
          <w:p>
            <w:r/>
            <w:r>
              <w:rPr>
                <w:rFonts w:ascii="Arial" w:hAnsi="Arial"/>
                <w:b w:val="0"/>
                <w:sz w:val="18"/>
              </w:rPr>
              <w:t>Permission</w:t>
            </w:r>
          </w:p>
        </w:tc>
      </w:tr>
      <w:tr>
        <w:tc>
          <w:tcPr>
            <w:tcW w:type="dxa" w:w="5040"/>
            <w:vAlign w:val="top"/>
          </w:tcPr>
          <w:p>
            <w:r/>
            <w:r>
              <w:rPr>
                <w:rFonts w:ascii="Arial" w:hAnsi="Arial"/>
                <w:b w:val="0"/>
                <w:sz w:val="18"/>
              </w:rPr>
              <w:t>Linked FR</w:t>
            </w:r>
          </w:p>
        </w:tc>
        <w:tc>
          <w:tcPr>
            <w:tcW w:type="dxa" w:w="5040"/>
            <w:vAlign w:val="top"/>
          </w:tcPr>
          <w:p>
            <w:r/>
            <w:r>
              <w:rPr>
                <w:rFonts w:ascii="Arial" w:hAnsi="Arial"/>
                <w:b w:val="0"/>
                <w:sz w:val="18"/>
              </w:rPr>
              <w:t>FR-009, FR-014</w:t>
            </w:r>
          </w:p>
        </w:tc>
      </w:tr>
      <w:tr>
        <w:tc>
          <w:tcPr>
            <w:tcW w:type="dxa" w:w="5040"/>
            <w:vAlign w:val="top"/>
          </w:tcPr>
          <w:p>
            <w:r/>
            <w:r>
              <w:rPr>
                <w:rFonts w:ascii="Arial" w:hAnsi="Arial"/>
                <w:b w:val="0"/>
                <w:sz w:val="18"/>
              </w:rPr>
              <w:t>Priority</w:t>
            </w:r>
          </w:p>
        </w:tc>
        <w:tc>
          <w:tcPr>
            <w:tcW w:type="dxa" w:w="5040"/>
            <w:vAlign w:val="top"/>
          </w:tcPr>
          <w:p>
            <w:r/>
            <w:r>
              <w:rPr>
                <w:rFonts w:ascii="Arial" w:hAnsi="Arial"/>
                <w:b w:val="0"/>
                <w:sz w:val="18"/>
              </w:rPr>
              <w:t>Critical</w:t>
            </w:r>
          </w:p>
        </w:tc>
      </w:tr>
      <w:tr>
        <w:tc>
          <w:tcPr>
            <w:tcW w:type="dxa" w:w="5040"/>
            <w:vAlign w:val="top"/>
          </w:tcPr>
          <w:p>
            <w:r/>
            <w:r>
              <w:rPr>
                <w:rFonts w:ascii="Arial" w:hAnsi="Arial"/>
                <w:b w:val="0"/>
                <w:sz w:val="18"/>
              </w:rPr>
              <w:t>Preconditions</w:t>
            </w:r>
          </w:p>
        </w:tc>
        <w:tc>
          <w:tcPr>
            <w:tcW w:type="dxa" w:w="5040"/>
            <w:vAlign w:val="top"/>
          </w:tcPr>
          <w:p>
            <w:r/>
            <w:r>
              <w:rPr>
                <w:rFonts w:ascii="Arial" w:hAnsi="Arial"/>
                <w:b w:val="0"/>
                <w:sz w:val="18"/>
              </w:rPr>
              <w:t>Dashboard source records include complaint narrative, OCR text, generated FIR draft content, phone number, and address in operational tables.</w:t>
            </w:r>
          </w:p>
        </w:tc>
      </w:tr>
      <w:tr>
        <w:tc>
          <w:tcPr>
            <w:tcW w:type="dxa" w:w="5040"/>
            <w:vAlign w:val="top"/>
          </w:tcPr>
          <w:p>
            <w:r/>
            <w:r>
              <w:rPr>
                <w:rFonts w:ascii="Arial" w:hAnsi="Arial"/>
                <w:b w:val="0"/>
                <w:sz w:val="18"/>
              </w:rPr>
              <w:t>Test Steps</w:t>
            </w:r>
          </w:p>
        </w:tc>
        <w:tc>
          <w:tcPr>
            <w:tcW w:type="dxa" w:w="5040"/>
            <w:vAlign w:val="top"/>
          </w:tcPr>
          <w:p>
            <w:r/>
            <w:r>
              <w:rPr>
                <w:rFonts w:ascii="Arial" w:hAnsi="Arial"/>
                <w:b w:val="0"/>
                <w:sz w:val="18"/>
              </w:rPr>
              <w:t>1. Call overview, officers, stations, lifecycle, processing-times, and export endpoints.</w:t>
              <w:br/>
              <w:t>2. Search response payloads and exported file text for seeded PII values.</w:t>
              <w:br/>
              <w:t>3. Open authorized case detail separately for comparison.</w:t>
            </w:r>
          </w:p>
        </w:tc>
      </w:tr>
      <w:tr>
        <w:tc>
          <w:tcPr>
            <w:tcW w:type="dxa" w:w="5040"/>
            <w:vAlign w:val="top"/>
          </w:tcPr>
          <w:p>
            <w:r/>
            <w:r>
              <w:rPr>
                <w:rFonts w:ascii="Arial" w:hAnsi="Arial"/>
                <w:b w:val="0"/>
                <w:sz w:val="18"/>
              </w:rPr>
              <w:t>Test Data</w:t>
            </w:r>
          </w:p>
        </w:tc>
        <w:tc>
          <w:tcPr>
            <w:tcW w:type="dxa" w:w="5040"/>
            <w:vAlign w:val="top"/>
          </w:tcPr>
          <w:p>
            <w:r/>
            <w:r>
              <w:rPr>
                <w:rFonts w:ascii="Arial" w:hAnsi="Arial"/>
                <w:b w:val="0"/>
                <w:sz w:val="18"/>
              </w:rPr>
              <w:t>Seeded forbidden values: +91-9999999999, 1-2-3 Test Address, Victim Name Test, Accused Name Test.</w:t>
            </w:r>
          </w:p>
        </w:tc>
      </w:tr>
      <w:tr>
        <w:tc>
          <w:tcPr>
            <w:tcW w:type="dxa" w:w="5040"/>
            <w:vAlign w:val="top"/>
          </w:tcPr>
          <w:p>
            <w:r/>
            <w:r>
              <w:rPr>
                <w:rFonts w:ascii="Arial" w:hAnsi="Arial"/>
                <w:b w:val="0"/>
                <w:sz w:val="18"/>
              </w:rPr>
              <w:t>Expected Result</w:t>
            </w:r>
          </w:p>
        </w:tc>
        <w:tc>
          <w:tcPr>
            <w:tcW w:type="dxa" w:w="5040"/>
            <w:vAlign w:val="top"/>
          </w:tcPr>
          <w:p>
            <w:r/>
            <w:r>
              <w:rPr>
                <w:rFonts w:ascii="Arial" w:hAnsi="Arial"/>
                <w:b w:val="0"/>
                <w:sz w:val="18"/>
              </w:rPr>
              <w:t>Dashboard APIs and exports do not contain forbidden values. Existing case-detail screen may show authorized case data according to pre-existing permissions. Dashboard DTOs are separate from case-detail DTOs.</w:t>
            </w:r>
          </w:p>
        </w:tc>
      </w:tr>
      <w:tr>
        <w:tc>
          <w:tcPr>
            <w:tcW w:type="dxa" w:w="5040"/>
            <w:vAlign w:val="top"/>
          </w:tcPr>
          <w:p>
            <w:r/>
            <w:r>
              <w:rPr>
                <w:rFonts w:ascii="Arial" w:hAnsi="Arial"/>
                <w:b w:val="0"/>
                <w:sz w:val="18"/>
              </w:rPr>
              <w:t>Postconditions</w:t>
            </w:r>
          </w:p>
        </w:tc>
        <w:tc>
          <w:tcPr>
            <w:tcW w:type="dxa" w:w="5040"/>
            <w:vAlign w:val="top"/>
          </w:tcPr>
          <w:p>
            <w:r/>
            <w:r>
              <w:rPr>
                <w:rFonts w:ascii="Arial" w:hAnsi="Arial"/>
                <w:b w:val="0"/>
                <w:sz w:val="18"/>
              </w:rPr>
              <w:t>Any PII leakage fails the release gate.</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Hyderabad City Police IQW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Confidential | Senior Officer Dashboard Test Cases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2F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2F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2F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