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Platform Specification v1.6</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fldChar w:fldCharType="separate"/>
            <w:fldChar w:fldCharType="end"/>
          </w:r>
        </w:p>
      </w:sdtContent>
    </w:sdt>
    <w:p>
      <w:pPr>
        <w:pStyle w:val="Heading1"/>
        <w:rPr/>
      </w:pPr>
      <w:bookmarkStart w:id="0" w:name="primesoft-hrms--platform-specification"/>
      <w:r>
        <w:rPr/>
        <w:t>PrimeSoft HRMS — Platform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v1.6 (Manager-review R3 follow-up: subject-scoped profile shell / employee-context switch; prior v1.5 Manager-review: P01 bulk queue actions + task routing; P02/P03 Workspace model)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Reconciliation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Adds M11 document-generation/sign-off and M17 service-desk + asset flows to W.1; registers M11/M17 jobs (X.1) and notifications (X.2); aligns X.2 to BRD §9.9; extends the service-contract register; closes OPEN-PLAT-06.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Reconciliation (v1.3 → v1.4)</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Employee-review platform touchpoints: </w:t>
            </w:r>
            <w:r>
              <w:rPr>
                <w:rFonts w:eastAsia="Cambria" w:cs=""/>
                <w:b/>
                <w:bCs/>
                <w:kern w:val="0"/>
                <w:sz w:val="24"/>
                <w:szCs w:val="24"/>
                <w:lang w:val="en-US" w:eastAsia="en-US" w:bidi="ar-SA"/>
              </w:rPr>
              <w:t>P03</w:t>
            </w:r>
            <w:r>
              <w:rPr>
                <w:rFonts w:eastAsia="Cambria" w:cs=""/>
                <w:kern w:val="0"/>
                <w:sz w:val="24"/>
                <w:szCs w:val="24"/>
                <w:lang w:val="en-US" w:eastAsia="en-US" w:bidi="ar-SA"/>
              </w:rPr>
              <w:t xml:space="preserve"> chat scope broadened (role-scoped HRMS-usage guidance + KB folded + coming-soon roadmap + responsive); </w:t>
            </w:r>
            <w:r>
              <w:rPr>
                <w:rFonts w:eastAsia="Cambria" w:cs=""/>
                <w:b/>
                <w:bCs/>
                <w:kern w:val="0"/>
                <w:sz w:val="24"/>
                <w:szCs w:val="24"/>
                <w:lang w:val="en-US" w:eastAsia="en-US" w:bidi="ar-SA"/>
              </w:rPr>
              <w:t>P01</w:t>
            </w:r>
            <w:r>
              <w:rPr>
                <w:rFonts w:eastAsia="Cambria" w:cs=""/>
                <w:kern w:val="0"/>
                <w:sz w:val="24"/>
                <w:szCs w:val="24"/>
                <w:lang w:val="en-US" w:eastAsia="en-US" w:bidi="ar-SA"/>
              </w:rPr>
              <w:t xml:space="preserve"> delivers the employee </w:t>
            </w:r>
            <w:r>
              <w:rPr>
                <w:rFonts w:eastAsia="Cambria" w:cs=""/>
                <w:b/>
                <w:bCs/>
                <w:kern w:val="0"/>
                <w:sz w:val="24"/>
                <w:szCs w:val="24"/>
                <w:lang w:val="en-US" w:eastAsia="en-US" w:bidi="ar-SA"/>
              </w:rPr>
              <w:t>Notifications centre</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Tasks</w:t>
            </w:r>
            <w:r>
              <w:rPr>
                <w:rFonts w:eastAsia="Cambria" w:cs=""/>
                <w:kern w:val="0"/>
                <w:sz w:val="24"/>
                <w:szCs w:val="24"/>
                <w:lang w:val="en-US" w:eastAsia="en-US" w:bidi="ar-SA"/>
              </w:rPr>
              <w:t xml:space="preserve"> aggregation (the employee screens bind these), and </w:t>
            </w:r>
            <w:r>
              <w:rPr>
                <w:rFonts w:eastAsia="Cambria" w:cs=""/>
                <w:b/>
                <w:bCs/>
                <w:kern w:val="0"/>
                <w:sz w:val="24"/>
                <w:szCs w:val="24"/>
                <w:lang w:val="en-US" w:eastAsia="en-US" w:bidi="ar-SA"/>
              </w:rPr>
              <w:t>IT-ticket approvals</w:t>
            </w:r>
            <w:r>
              <w:rPr>
                <w:rFonts w:eastAsia="Cambria" w:cs=""/>
                <w:kern w:val="0"/>
                <w:sz w:val="24"/>
                <w:szCs w:val="24"/>
                <w:lang w:val="en-US" w:eastAsia="en-US" w:bidi="ar-SA"/>
              </w:rPr>
              <w:t xml:space="preserve"> route through configured approval flows; </w:t>
            </w:r>
            <w:r>
              <w:rPr>
                <w:rFonts w:eastAsia="Cambria" w:cs=""/>
                <w:b/>
                <w:bCs/>
                <w:kern w:val="0"/>
                <w:sz w:val="24"/>
                <w:szCs w:val="24"/>
                <w:lang w:val="en-US" w:eastAsia="en-US" w:bidi="ar-SA"/>
              </w:rPr>
              <w:t>P02</w:t>
            </w:r>
            <w:r>
              <w:rPr>
                <w:rFonts w:eastAsia="Cambria" w:cs=""/>
                <w:kern w:val="0"/>
                <w:sz w:val="24"/>
                <w:szCs w:val="24"/>
                <w:lang w:val="en-US" w:eastAsia="en-US" w:bidi="ar-SA"/>
              </w:rPr>
              <w:t xml:space="preserve"> backs the employee </w:t>
            </w:r>
            <w:r>
              <w:rPr>
                <w:rFonts w:eastAsia="Cambria" w:cs=""/>
                <w:b/>
                <w:bCs/>
                <w:kern w:val="0"/>
                <w:sz w:val="24"/>
                <w:szCs w:val="24"/>
                <w:lang w:val="en-US" w:eastAsia="en-US" w:bidi="ar-SA"/>
              </w:rPr>
              <w:t>Settings</w:t>
            </w:r>
            <w:r>
              <w:rPr>
                <w:rFonts w:eastAsia="Cambria" w:cs=""/>
                <w:kern w:val="0"/>
                <w:sz w:val="24"/>
                <w:szCs w:val="24"/>
                <w:lang w:val="en-US" w:eastAsia="en-US" w:bidi="ar-SA"/>
              </w:rPr>
              <w:t xml:space="preserve"> (notification preferences, language, password/MFA, active sessions). No models re-authored.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Reconciliation (v1.2 → v1.3)</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v1.2 added the P02 RBAC administration-surface note (</w:t>
            </w:r>
            <w:r>
              <w:rPr>
                <w:rStyle w:val="VerbatimChar"/>
                <w:rFonts w:eastAsia="Cambria" w:cs=""/>
                <w:kern w:val="0"/>
                <w:szCs w:val="24"/>
                <w:lang w:val="en-US" w:eastAsia="en-US" w:bidi="ar-SA"/>
              </w:rPr>
              <w:t>cfg-rbac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cfg-rbac-role</w:t>
            </w:r>
            <w:r>
              <w:rPr>
                <w:rFonts w:eastAsia="Cambria" w:cs=""/>
                <w:kern w:val="0"/>
                <w:sz w:val="24"/>
                <w:szCs w:val="24"/>
                <w:lang w:val="en-US" w:eastAsia="en-US" w:bidi="ar-SA"/>
              </w:rPr>
              <w:t>, RBAC §4.4). v1.3 records the W.1 and W.2 builder screens now present in the Org Admin console (</w:t>
            </w:r>
            <w:r>
              <w:rPr>
                <w:rStyle w:val="VerbatimChar"/>
                <w:rFonts w:eastAsia="Cambria" w:cs=""/>
                <w:kern w:val="0"/>
                <w:szCs w:val="24"/>
                <w:lang w:val="en-US" w:eastAsia="en-US" w:bidi="ar-SA"/>
              </w:rPr>
              <w:t>cfg-workflow-builder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cfg-approval-builder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cfg-form-builder</w:t>
            </w:r>
            <w:r>
              <w:rPr>
                <w:rFonts w:eastAsia="Cambria" w:cs=""/>
                <w:kern w:val="0"/>
                <w:sz w:val="24"/>
                <w:szCs w:val="24"/>
                <w:lang w:val="en-US" w:eastAsia="en-US" w:bidi="ar-SA"/>
              </w:rPr>
              <w:t>); per OPEN-PLAT-04 this spec continues to own the models, the screens bind them. No models re-authored.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for review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Classification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build layer of the shared horizontal services every functional module depends on: workflow engine, RBAC enforcement, AI chat agent, tenant/org admin, audit, migration, plus background-job and notification infrastructure, and the configured-content models (process flows, forms, notification config).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References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§2.1.2 (platform scope), §5.1 (FR-P01–P06), §4.14 (platform entities), §7 (NFR), §9 (notifications), Appendices C/D/E/F/I/J · RBAC Design Document · Foundation FS · the eight module FS.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source of truth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BRD owns platform requirements, rules, the §4.14 entity field tables, and Appendices C/D/E/F/I/J. The RBAC doc owns the access-control model. The Foundation FS owns the validation library, job index, and message catalogue. This document references all of them and authors only engine internals, service contracts, configuration models, enforcement mechanics, isolation, observability, and failure/retry.</w:t>
            </w:r>
          </w:p>
        </w:tc>
      </w:tr>
    </w:tbl>
    <w:p>
      <w:pPr>
        <w:pStyle w:val="Heading2"/>
        <w:rPr/>
      </w:pPr>
      <w:r>
        <w:rPr/>
        <w:t>0. Foundations (cross-cutting, underpin all services)</w:t>
      </w:r>
    </w:p>
    <w:p>
      <w:pPr>
        <w:pStyle w:val="FirstParagraph"/>
        <w:rPr/>
      </w:pPr>
      <w:r>
        <w:rPr>
          <w:i/>
          <w:iCs/>
        </w:rPr>
        <w:t>References: BRD §4.2 (tenancy/org entities), §7.4 (security NFR), Appendix C (audit); RBAC doc (session roles); Foundation FS §1 (API conventions).</w:t>
      </w:r>
    </w:p>
    <w:p>
      <w:pPr>
        <w:pStyle w:val="BodyText"/>
        <w:rPr/>
      </w:pPr>
      <w:r>
        <w:rPr>
          <w:b/>
          <w:bCs/>
        </w:rPr>
        <w:t>0.1 Multi-tenancy &amp;</w:t>
      </w:r>
      <w:r>
        <w:rPr/>
        <w:t>** isolation.** Every business table carries tenant_id and (where entity-scoped) entity_id. All data access is scoped at the data layer by the authenticated session’s tenant and entity; cross-entity reach exists only for Org Admin (RBAC §2.1) and is applied as a widened scope filter, never a bypass. Cross-tenant reach exists only for Platform Super Admin. Isolation is enforced in the persistence layer so an application bug cannot leak across tenants. Failure mode: a query without a resolvable tenant scope is rejected, not defaulted to “all”.</w:t>
      </w:r>
    </w:p>
    <w:p>
      <w:pPr>
        <w:pStyle w:val="BodyText"/>
        <w:rPr/>
      </w:pPr>
      <w:r>
        <w:rPr>
          <w:b/>
          <w:bCs/>
        </w:rPr>
        <w:t>0.2 Authentication &amp;</w:t>
      </w:r>
      <w:r>
        <w:rPr/>
        <w:t>** session.** Bearer-token session carries the user’s resolved roles and tenant/entity scope (model per RBAC doc). Token expiry, refresh, and concurrent-session policy per BRD §7.4; the session never carries raw permissions — they are resolved per request by P02.</w:t>
      </w:r>
    </w:p>
    <w:p>
      <w:pPr>
        <w:pStyle w:val="BodyText"/>
        <w:rPr/>
      </w:pPr>
      <w:r>
        <w:rPr>
          <w:b/>
          <w:bCs/>
        </w:rPr>
        <w:t>0.3 Configuration management.</w:t>
      </w:r>
      <w:r>
        <w:rPr/>
        <w:t xml:space="preserve"> Config entities (workflows, approval/skip/SLA settings, forms, policies) are versioned. On save they pass a validation step (per the relevant FR, e.g. FR-P01-001 workflow validation) and are rejected if invalid. Activation is immediate for new instances; in-flight instances continue on the version they started with (see P01, W.1). Config changes follow the cascade platform default → tenant → entity → employee (BRD §5.1.4); a higher-level change does not silently overwrite a lower-level override.</w:t>
      </w:r>
    </w:p>
    <w:p>
      <w:pPr>
        <w:pStyle w:val="BodyText"/>
        <w:rPr/>
      </w:pPr>
      <w:r>
        <w:rPr>
          <w:b/>
          <w:bCs/>
        </w:rPr>
        <w:t>0.4 Service-contract conventions.</w:t>
      </w:r>
      <w:r>
        <w:rPr/>
        <w:t xml:space="preserve"> Every internal service call carries the auth context (0.2), an idempotency key for state-changing calls, a correlation id, and returns the standard error envelope (Foundation FS §1; BRD §6.2). All P0x contracts below inherit this and do not restate it.</w:t>
      </w:r>
    </w:p>
    <w:p>
      <w:pPr>
        <w:pStyle w:val="BodyText"/>
        <w:rPr/>
      </w:pPr>
      <w:r>
        <w:rPr>
          <w:b/>
          <w:bCs/>
        </w:rPr>
        <w:t>0.5 Observability standard.</w:t>
      </w:r>
      <w:r>
        <w:rPr/>
        <w:t xml:space="preserve"> Every service emits structured logs (with correlation id), metrics (latency, error rate, throughput), and traces. Security-relevant events go to security_audit_log; data mutations to audit_log (Appendix C). Job runs and notification deliveries emit their own metrics (X.1, X.2).</w:t>
      </w:r>
    </w:p>
    <w:p>
      <w:pPr>
        <w:pStyle w:val="Heading2"/>
        <w:rPr/>
      </w:pPr>
      <w:bookmarkStart w:id="1" w:name="p01-workflow-engine"/>
      <w:r>
        <w:rPr/>
        <w:t>P01. Workflow Engine</w:t>
      </w:r>
    </w:p>
    <w:p>
      <w:pPr>
        <w:pStyle w:val="FirstParagraph"/>
        <w:rPr/>
      </w:pPr>
      <w:r>
        <w:rPr>
          <w:i/>
          <w:iCs/>
        </w:rPr>
        <w:t>References: BRD §5.1.1 (FR-P01-001…), §4.14.1–.3 (</w:t>
      </w:r>
      <w:r>
        <w:rPr>
          <w:b/>
          <w:bCs/>
          <w:i/>
          <w:iCs/>
        </w:rPr>
        <w:t>workflows</w:t>
      </w:r>
      <w:r>
        <w:rPr>
          <w:i/>
          <w:iCs/>
        </w:rPr>
        <w:t xml:space="preserve">, </w:t>
      </w:r>
      <w:r>
        <w:rPr>
          <w:b/>
          <w:bCs/>
          <w:i/>
          <w:iCs/>
        </w:rPr>
        <w:t>workflow_instances</w:t>
      </w:r>
      <w:r>
        <w:rPr>
          <w:i/>
          <w:iCs/>
        </w:rPr>
        <w:t xml:space="preserve">, </w:t>
      </w:r>
      <w:r>
        <w:rPr>
          <w:b/>
          <w:bCs/>
          <w:i/>
          <w:iCs/>
        </w:rPr>
        <w:t>workflow_actions</w:t>
      </w:r>
      <w:r>
        <w:rPr>
          <w:i/>
          <w:iCs/>
        </w:rPr>
        <w:t>), §4.14.12 (</w:t>
      </w:r>
      <w:r>
        <w:rPr>
          <w:b/>
          <w:bCs/>
          <w:i/>
          <w:iCs/>
        </w:rPr>
        <w:t>skip_settings</w:t>
      </w:r>
      <w:r>
        <w:rPr>
          <w:i/>
          <w:iCs/>
        </w:rPr>
        <w:t>), Appendix D (pattern reference), Appendix I (configured catalog). RBAC doc (approver resolution). The configured FLOW DEFINITIONS that run on this engine are modelled in §W.1; per-module triggers are in each module FS.</w:t>
      </w:r>
    </w:p>
    <w:p>
      <w:pPr>
        <w:pStyle w:val="BodyText"/>
        <w:rPr/>
      </w:pPr>
      <w:r>
        <w:rPr>
          <w:b/>
          <w:bCs/>
        </w:rPr>
        <w:t>Engine responsibility.</w:t>
      </w:r>
      <w:r>
        <w:rPr/>
        <w:t xml:space="preserve"> One engine drives all approval and notification processes across modules (FR-P01-001). This section authors how it runs; it does not restate the five patterns (Appendix D) or the FRs.</w:t>
      </w:r>
    </w:p>
    <w:p>
      <w:pPr>
        <w:pStyle w:val="BodyText"/>
        <w:rPr/>
      </w:pPr>
      <w:r>
        <w:rPr>
          <w:b/>
          <w:bCs/>
        </w:rPr>
        <w:t>Definition &amp;</w:t>
      </w:r>
      <w:r>
        <w:rPr/>
        <w:t xml:space="preserve">** version model.** A workflows row holds workflow_code, pattern, stages_definition, sla_definition. On save the engine runs validation (≥1 stage, every stage has an assignee-resolution rule, SLA defined, no circular stage reference) and sets status=ACTIVE (per FR-P01-001). Deprecation, not deletion, is the only path when instances are active. </w:t>
      </w:r>
      <w:r>
        <w:rPr>
          <w:b/>
          <w:bCs/>
        </w:rPr>
        <w:t>In-flight versioning:</w:t>
      </w:r>
      <w:r>
        <w:rPr/>
        <w:t xml:space="preserve"> each workflow_instance pins the definition version it began on; deprecating/replacing a definition affects only new instances.</w:t>
      </w:r>
    </w:p>
    <w:p>
      <w:pPr>
        <w:pStyle w:val="BodyText"/>
        <w:rPr/>
      </w:pPr>
      <w:r>
        <w:rPr>
          <w:b/>
          <w:bCs/>
        </w:rPr>
        <w:t>Pattern execution (references Appendix D):</w:t>
      </w:r>
      <w:r>
        <w:rPr/>
        <w:t xml:space="preserve"> SEQUENTIAL advances one stage at a time; PARALLEL_ALL_OF opens all branches and joins only when every branch completes; PARALLEL_ANY_OF completes on the first approval and cancels the losing branches; CONDITIONAL evaluates its branch predicate against instance context at the moment the stage is reached; DYNAMIC_APPROVER resolves the approver set at runtime. The engine authors the join/cancel/evaluation-timing mechanics here; the pattern semantics stay in Appendix D.</w:t>
      </w:r>
    </w:p>
    <w:p>
      <w:pPr>
        <w:pStyle w:val="BodyText"/>
        <w:rPr/>
      </w:pPr>
      <w:r>
        <w:rPr>
          <w:b/>
          <w:bCs/>
        </w:rPr>
        <w:t>Approver resolution (four mechanisms — references RBAC).</w:t>
      </w:r>
      <w:r>
        <w:rPr/>
        <w:t xml:space="preserve"> Named role, reporting-chain position, named individual, cost-centre head. “Manager” resolves to L1 Manager, with the BRD’s stated fallback when L1 is absent. HOD / Skip-level / Dotted-line do not get approval authority by default; HOD authority is the per-workflow, per-user capability toggle granted by Org Admin (RBAC §4.3 / OPEN-RBAC-03). A named-individual approver who is inactive surfaces a configuration error at next instantiation (FR-P01-001).</w:t>
      </w:r>
    </w:p>
    <w:p>
      <w:pPr>
        <w:pStyle w:val="BodyText"/>
        <w:rPr/>
      </w:pPr>
      <w:r>
        <w:rPr>
          <w:b/>
          <w:bCs/>
        </w:rPr>
        <w:t>Instance state machine, decision matrix &amp;</w:t>
      </w:r>
      <w:r>
        <w:rPr/>
        <w:t>** skip-settings.** workflow_instances move through stages writing one workflow_actions row per action; decision-matrix and skip_settings (§4.14.12) are resolved at stage entry to decide routing/skip. Send-back re-routes to a prior stage and re-triggers only the affected stages.</w:t>
      </w:r>
    </w:p>
    <w:p>
      <w:pPr>
        <w:pStyle w:val="BodyText"/>
        <w:rPr/>
      </w:pPr>
      <w:r>
        <w:rPr>
          <w:b/>
          <w:bCs/>
        </w:rPr>
        <w:t>SLA &amp;</w:t>
      </w:r>
      <w:r>
        <w:rPr/>
        <w:t>** escalation runtime.** SLA timers per stage (sla_definition); on breach the engine emits an escalation event → notification (X.2) + audit, and applies the configured breach output (delegate/auto-act) from the SLA setting (W.1). Idempotent stage-advance: a double-clicked or retried approve produces one action, not two (idempotency key, 0.4).</w:t>
      </w:r>
    </w:p>
    <w:p>
      <w:pPr>
        <w:pStyle w:val="BodyText"/>
        <w:rPr/>
      </w:pPr>
      <w:r>
        <w:rPr>
          <w:b/>
          <w:bCs/>
        </w:rPr>
        <w:t>Service contract.</w:t>
      </w:r>
    </w:p>
    <w:p>
      <w:pPr>
        <w:pStyle w:val="BodyText"/>
        <w:rPr/>
      </w:pPr>
      <w:r>
        <w:rPr/>
        <w:t>Service: WorkflowEngine.startInstance (implements FR-P01-001) Callers: M01 sensitive-field change, M02 onboarding, M03 separation, M04 leave, M05 attendance/OT, M08 requisition/offer, M09 review — by reference from each FS Input: { workflow_code, subject_ref, context{…}, initiator } — auth/idempotency per §0.4 Output: { instance_id, first_stage, assignees[] } Errors: 400 invalid/inactive code · 403 (ref P02) · 409 duplicate (ERR-DUP-INSTANCE) / circular · 422 validation Events: instance.created → audit + notifications (X.2)</w:t>
      </w:r>
    </w:p>
    <w:p>
      <w:pPr>
        <w:pStyle w:val="BodyText"/>
        <w:rPr/>
      </w:pPr>
      <w:r>
        <w:rPr/>
        <w:t>Also: advance/approve/reject/sendBack/delegate/cancel/query, each idempotent, each emitting one workflow_actions row + audit.</w:t>
      </w:r>
    </w:p>
    <w:p>
      <w:pPr>
        <w:pStyle w:val="BodyText"/>
        <w:rPr/>
      </w:pPr>
      <w:r>
        <w:rPr>
          <w:b/>
          <w:bCs/>
        </w:rPr>
        <w:t>Commonly-missed:</w:t>
      </w:r>
      <w:r>
        <w:rPr/>
        <w:t xml:space="preserve"> delegation/reassignment; initiator recall; ALL_OF join + ANY_OF loser-cancel; editing the subject record while an instance is in flight (locked or re-validated); behaviour when a definition is deprecated mid-flight (instance continues on pinned version).</w:t>
      </w:r>
      <w:bookmarkEnd w:id="1"/>
    </w:p>
    <w:p>
      <w:pPr>
        <w:pStyle w:val="Heading2"/>
        <w:rPr/>
      </w:pPr>
      <w:bookmarkStart w:id="2" w:name="p02-rbac--security-enforcement-engine"/>
      <w:r>
        <w:rPr/>
        <w:t>P02. RBAC &amp; Security (enforcement engine)</w:t>
      </w:r>
    </w:p>
    <w:p>
      <w:pPr>
        <w:pStyle w:val="FirstParagraph"/>
        <w:rPr/>
      </w:pPr>
      <w:r>
        <w:rPr>
          <w:i/>
          <w:iCs/>
        </w:rPr>
        <w:t>References: BRD §5.1.2 (FR-P02-001/002), §3.6 (scoping), §3.7 (matrix), §3.9 (field access), §3.10 (capability flags); RBAC Design Document (the MODEL). This section authors ENFORCEMENT only — it never redefines roles, the matrix, field access, or flags.</w:t>
      </w:r>
    </w:p>
    <w:p>
      <w:pPr>
        <w:pStyle w:val="BodyText"/>
        <w:rPr/>
      </w:pPr>
      <w:r>
        <w:rPr>
          <w:b/>
          <w:bCs/>
        </w:rPr>
        <w:t>Enforcement is model-driven.</w:t>
      </w:r>
      <w:r>
        <w:rPr/>
        <w:t xml:space="preserve"> The roles, matrix, scoping rules, field access, and capability flags are owned by the RBAC doc and are referenced, not restated.</w:t>
      </w:r>
    </w:p>
    <w:p>
      <w:pPr>
        <w:pStyle w:val="BodyText"/>
        <w:rPr/>
      </w:pPr>
      <w:r>
        <w:rPr>
          <w:b/>
          <w:bCs/>
        </w:rPr>
        <w:t>Administration surface (added v1.2).</w:t>
      </w:r>
      <w:r>
        <w:rPr/>
        <w:t xml:space="preserve"> The RBAC model is administered through two Org Admin screens — </w:t>
      </w:r>
      <w:r>
        <w:rPr>
          <w:rStyle w:val="VerbatimChar"/>
        </w:rPr>
        <w:t>cfg-rbac</w:t>
      </w:r>
      <w:r>
        <w:rPr/>
        <w:t xml:space="preserve"> (roles list + role × permission matrix across all module groups) and </w:t>
      </w:r>
      <w:r>
        <w:rPr>
          <w:rStyle w:val="VerbatimChar"/>
        </w:rPr>
        <w:t>cfg-rbac-role</w:t>
      </w:r>
      <w:r>
        <w:rPr/>
        <w:t xml:space="preserve"> (the role permission editor: role definition plus per-module action toggles and scope selectors, with saves written to security_audit_log) — specified in RBAC Design Document §4.4. Those screens </w:t>
      </w:r>
      <w:r>
        <w:rPr>
          <w:i/>
          <w:iCs/>
        </w:rPr>
        <w:t>bind</w:t>
      </w:r>
      <w:r>
        <w:rPr/>
        <w:t xml:space="preserve"> the model; this section authors only its </w:t>
      </w:r>
      <w:r>
        <w:rPr>
          <w:i/>
          <w:iCs/>
        </w:rPr>
        <w:t>enforcement</w:t>
      </w:r>
      <w:r>
        <w:rPr/>
        <w:t>. FR-P02-001/002 here denote enforcement (authorization resolution; field-level enforcement) and are distinct from the administration screens, which carry the RBAC §4.4 reference.</w:t>
      </w:r>
    </w:p>
    <w:p>
      <w:pPr>
        <w:pStyle w:val="BodyText"/>
        <w:rPr/>
      </w:pPr>
      <w:r>
        <w:rPr>
          <w:b/>
          <w:bCs/>
        </w:rPr>
        <w:t>Permission-check resolution order (authored):</w:t>
      </w:r>
    </w:p>
    <w:p>
      <w:pPr>
        <w:pStyle w:val="BodyText"/>
        <w:rPr/>
      </w:pPr>
      <w:r>
        <w:rPr/>
        <w:t>Check: on Resolution: deny-by-default → role grant (RBAC §5.1 matrix) → Conflict Resolution Rule: where a user holds multiple roles, take the INTERSECTION (more restrictive) of permissions (FR-P02-001) → individual entitlement (RBAC §3.2, time-bound; expiry auto-removed by a scheduled job) → capability flag (RBAC §4.3) → PII Protection Ceiling: overrides everything; no role/combination lifts it upward (fixed Office Admin national-ID/DOB grants are the only platform-level exception, FR-P02-001) → data scope filter (RBAC §3.6 dimensions) → field mask on serialization (BRD §3.9 / Appendix B PII tiers) Failure: 403 ERR-FORBIDDEN + security_audit_log entry</w:t>
      </w:r>
    </w:p>
    <w:p>
      <w:pPr>
        <w:pStyle w:val="BodyText"/>
        <w:rPr/>
      </w:pPr>
      <w:r>
        <w:rPr>
          <w:b/>
          <w:bCs/>
        </w:rPr>
        <w:t>Field-level enforcement (FR-P02-002).</w:t>
      </w:r>
      <w:r>
        <w:rPr/>
        <w:t xml:space="preserve"> Every endpoint validates session token → module permission → field permission before responding; masking is applied on serialization so an over-broad query still cannot leak a masked field. Each role change/removal writes security_audit_log (event_type=RBAC_CHANGE).</w:t>
      </w:r>
    </w:p>
    <w:p>
      <w:pPr>
        <w:pStyle w:val="BodyText"/>
        <w:rPr/>
      </w:pPr>
      <w:r>
        <w:rPr>
          <w:b/>
          <w:bCs/>
        </w:rPr>
        <w:t>Authorization service contract.</w:t>
      </w:r>
    </w:p>
    <w:p>
      <w:pPr>
        <w:pStyle w:val="BodyText"/>
        <w:rPr/>
      </w:pPr>
      <w:r>
        <w:rPr/>
        <w:t>Service: Authorization.check (implements FR-P02-001/002) Callers: every module API + WorkflowEngine approver resolution Input: { subject(roles,scope), action, resource_ref, fields[] } Output: { allowed, scope_filter, field_mask[] } Errors: 403 (deny) with audit; never reveals existence of out-of-scope records (404-style)</w:t>
      </w:r>
    </w:p>
    <w:p>
      <w:pPr>
        <w:pStyle w:val="BodyText"/>
        <w:rPr/>
      </w:pPr>
      <w:r>
        <w:rPr>
          <w:b/>
          <w:bCs/>
        </w:rPr>
        <w:t>Commonly-missed:</w:t>
      </w:r>
      <w:r>
        <w:rPr/>
        <w:t xml:space="preserve"> row-scope application point (data layer); admin/impersonation bypass and its auditing; rate-limiting/lockout (BRD §6.3/§7.4); token/secret rotation; the Office-Admin-on-own-record edge case (FR-P02-001).</w:t>
      </w:r>
      <w:bookmarkEnd w:id="2"/>
    </w:p>
    <w:p>
      <w:pPr>
        <w:pStyle w:val="Heading2"/>
        <w:rPr/>
      </w:pPr>
      <w:bookmarkStart w:id="3" w:name="p03-chat-agent-ai"/>
      <w:r>
        <w:rPr/>
        <w:t>P03. Chat Agent (AI)</w:t>
      </w:r>
    </w:p>
    <w:p>
      <w:pPr>
        <w:pStyle w:val="FirstParagraph"/>
        <w:rPr/>
      </w:pPr>
      <w:r>
        <w:rPr>
          <w:i/>
          <w:iCs/>
        </w:rPr>
        <w:t>References: BRD §5.1.3 (FR-P03-001/002), §4.14.11 (</w:t>
      </w:r>
      <w:r>
        <w:rPr>
          <w:b/>
          <w:bCs/>
          <w:i/>
          <w:iCs/>
        </w:rPr>
        <w:t>ai_chat_queries</w:t>
      </w:r>
      <w:r>
        <w:rPr>
          <w:i/>
          <w:iCs/>
        </w:rPr>
        <w:t>), Appendix B (PII). RBAC doc (data scope, PII ceiling).</w:t>
      </w:r>
    </w:p>
    <w:p>
      <w:pPr>
        <w:pStyle w:val="BodyText"/>
        <w:rPr/>
      </w:pPr>
      <w:r>
        <w:rPr>
          <w:b/>
          <w:bCs/>
        </w:rPr>
        <w:t>Grounding &amp;</w:t>
      </w:r>
      <w:r>
        <w:rPr/>
        <w:t xml:space="preserve">** retrieval.** Answers only from (a) org-uploaded HR policy/statutory documents and (b) the user’s own permissible data; on no relevant passage, returns the explicit “I don’t have information about that in your organisation’s documents” response (FR-P03-001). Retrieval freshness tracks document updates. The assistant additionally answers </w:t>
      </w:r>
      <w:r>
        <w:rPr>
          <w:b/>
          <w:bCs/>
        </w:rPr>
        <w:t>HRMS usage guidance</w:t>
      </w:r>
      <w:r>
        <w:rPr/>
        <w:t xml:space="preserve"> (“how do I do X in the app”) scoped to the user’s role, and </w:t>
      </w:r>
      <w:r>
        <w:rPr>
          <w:b/>
          <w:bCs/>
        </w:rPr>
        <w:t>knowledge-base articles</w:t>
      </w:r>
      <w:r>
        <w:rPr/>
        <w:t xml:space="preserve"> — the knowledge base is answered here, so there is </w:t>
      </w:r>
      <w:r>
        <w:rPr>
          <w:b/>
          <w:bCs/>
        </w:rPr>
        <w:t>no separate KB surface</w:t>
      </w:r>
      <w:r>
        <w:rPr/>
        <w:t xml:space="preserve">. All responses are </w:t>
      </w:r>
      <w:r>
        <w:rPr>
          <w:b/>
          <w:bCs/>
        </w:rPr>
        <w:t>role-scoped</w:t>
      </w:r>
      <w:r>
        <w:rPr/>
        <w:t xml:space="preserve"> (bound by the requester’s field/module visibility). A prioritised </w:t>
      </w:r>
      <w:r>
        <w:rPr>
          <w:b/>
          <w:bCs/>
        </w:rPr>
        <w:t>roadmap</w:t>
      </w:r>
      <w:r>
        <w:rPr/>
        <w:t xml:space="preserve"> of agentic capabilities (apply leave / regularise attendance by chat, raise a ticket, show balances/payslip, summarise tasks &amp; approvals) is surfaced as “coming soon”; Release-1 outputs remain </w:t>
      </w:r>
      <w:r>
        <w:rPr>
          <w:b/>
          <w:bCs/>
        </w:rPr>
        <w:t>informational-only</w:t>
      </w:r>
      <w:r>
        <w:rPr/>
        <w:t xml:space="preserve"> and the assistant is </w:t>
      </w:r>
      <w:r>
        <w:rPr>
          <w:b/>
          <w:bCs/>
        </w:rPr>
        <w:t>mobile-responsive</w:t>
      </w:r>
      <w:r>
        <w:rPr/>
        <w:t xml:space="preserve"> (NFR §7).</w:t>
      </w:r>
    </w:p>
    <w:p>
      <w:pPr>
        <w:pStyle w:val="BodyText"/>
        <w:rPr/>
      </w:pPr>
      <w:r>
        <w:rPr>
          <w:b/>
          <w:bCs/>
        </w:rPr>
        <w:t>Guardrails &amp;</w:t>
      </w:r>
      <w:r>
        <w:rPr/>
        <w:t>** PII.** All AI calls are backend-only; the API key never reaches the client. PII is stripped server-side before any model call, governed by the same PII ceilings as P02 (enterprise identifiers, financial fields, etc. never sent). Outputs are informational only — they never trigger workflows or automated actions. Per-tenant knowledge isolation. Pre-joining access per FR-P03-002.</w:t>
      </w:r>
    </w:p>
    <w:p>
      <w:pPr>
        <w:pStyle w:val="BodyText"/>
        <w:rPr/>
      </w:pPr>
      <w:r>
        <w:rPr>
          <w:b/>
          <w:bCs/>
        </w:rPr>
        <w:t>Service contract &amp;</w:t>
      </w:r>
      <w:r>
        <w:rPr/>
        <w:t>** logging.**</w:t>
      </w:r>
    </w:p>
    <w:p>
      <w:pPr>
        <w:pStyle w:val="BodyText"/>
        <w:rPr/>
      </w:pPr>
      <w:bookmarkStart w:id="4" w:name="p03-chat-agent-ai"/>
      <w:r>
        <w:rPr/>
        <w:t>Service: ChatAgent.query (implements FR-P03-001) Input: { user_ctx, question } (PII-stripped server-side before model call) Output: { answer | no-information, source_refs[] } Logging: ai_chat_queries — METADATA ONLY; query/response CONTENT is not logged (FR-P03-001) Failure: AI API unavailable → graceful message, platform unaffected; latency target &lt; 8s, interim “still working” message past threshold</w:t>
      </w:r>
      <w:bookmarkEnd w:id="4"/>
    </w:p>
    <w:p>
      <w:pPr>
        <w:pStyle w:val="Heading2"/>
        <w:rPr/>
      </w:pPr>
      <w:bookmarkStart w:id="5" w:name="p04-tenant--org-admin"/>
      <w:r>
        <w:rPr/>
        <w:t>P04. Tenant &amp; Org Admin</w:t>
      </w:r>
    </w:p>
    <w:p>
      <w:pPr>
        <w:pStyle w:val="FirstParagraph"/>
        <w:rPr/>
      </w:pPr>
      <w:r>
        <w:rPr>
          <w:i/>
          <w:iCs/>
        </w:rPr>
        <w:t>References: BRD §5.1.4 (FR-P04-001/002), §4.2 (org entities), §4.14.6 (</w:t>
      </w:r>
      <w:r>
        <w:rPr>
          <w:b/>
          <w:bCs/>
          <w:i/>
          <w:iCs/>
        </w:rPr>
        <w:t>integration_credentials</w:t>
      </w:r>
      <w:r>
        <w:rPr>
          <w:i/>
          <w:iCs/>
        </w:rPr>
        <w:t>). RBAC doc (Platform Super Admin vs Org Admin).</w:t>
      </w:r>
    </w:p>
    <w:p>
      <w:pPr>
        <w:pStyle w:val="BodyText"/>
        <w:rPr/>
      </w:pPr>
      <w:r>
        <w:rPr>
          <w:b/>
          <w:bCs/>
        </w:rPr>
        <w:t>Provisioning lifecycle.</w:t>
      </w:r>
      <w:r>
        <w:rPr/>
        <w:t xml:space="preserve"> A tenant is provisioned and operational within one business day: creates a tenants row, cascades segment+geography platform defaults (leave/performance/attendance/pay models), creates the initial Org Admin with forced first-login password change, and audit-logs all choices (FR-P04-001). Segment/geography are immutable post-provisioning (segment change ⇒ data migration); additional geographies can be added per entity. Standalone→Multi-Tenant / →Group-Company is a config change, no migration. Blocked if segment+geography master data is incomplete.</w:t>
      </w:r>
    </w:p>
    <w:p>
      <w:pPr>
        <w:pStyle w:val="BodyText"/>
        <w:rPr/>
      </w:pPr>
      <w:r>
        <w:rPr>
          <w:b/>
          <w:bCs/>
        </w:rPr>
        <w:t>Config propagation &amp;</w:t>
      </w:r>
      <w:r>
        <w:rPr/>
        <w:t>** effective-dating.** Config cascade platform→tenant→entity→employee; changes propagate downward except where a lower level holds an override. Effective-dated config changes apply to in-flight data per the owning module’s rule (reference; jobs in X.1).</w:t>
      </w:r>
    </w:p>
    <w:p>
      <w:pPr>
        <w:pStyle w:val="BodyText"/>
        <w:rPr/>
      </w:pPr>
      <w:r>
        <w:rPr>
          <w:b/>
          <w:bCs/>
        </w:rPr>
        <w:t>Device/location registration (FR-P04-002).</w:t>
      </w:r>
      <w:r>
        <w:rPr/>
        <w:t xml:space="preserve"> Biometric devices and IP-based attendance restrictions are registered here before use by M05.</w:t>
      </w:r>
    </w:p>
    <w:p>
      <w:pPr>
        <w:pStyle w:val="BodyText"/>
        <w:rPr/>
      </w:pPr>
      <w:r>
        <w:rPr>
          <w:b/>
          <w:bCs/>
        </w:rPr>
        <w:t>Integration credentials.</w:t>
      </w:r>
      <w:r>
        <w:rPr/>
        <w:t xml:space="preserve"> integration_credentials stored encrypted; rotation and per-integration scoping owned here (used by X.3).</w:t>
      </w:r>
      <w:bookmarkEnd w:id="5"/>
    </w:p>
    <w:p>
      <w:pPr>
        <w:pStyle w:val="Heading2"/>
        <w:rPr/>
      </w:pPr>
      <w:bookmarkStart w:id="6" w:name="p05-audit--compliance-log"/>
      <w:r>
        <w:rPr/>
        <w:t>P05. Audit &amp; Compliance Log</w:t>
      </w:r>
    </w:p>
    <w:p>
      <w:pPr>
        <w:pStyle w:val="FirstParagraph"/>
        <w:rPr/>
      </w:pPr>
      <w:r>
        <w:rPr>
          <w:i/>
          <w:iCs/>
        </w:rPr>
        <w:t>References: BRD §5.1.5 (FR-P05-001), Appendix C (structure — two logs), §4.14.4/.5 (</w:t>
      </w:r>
      <w:r>
        <w:rPr>
          <w:b/>
          <w:bCs/>
          <w:i/>
          <w:iCs/>
        </w:rPr>
        <w:t>audit_log</w:t>
      </w:r>
      <w:r>
        <w:rPr>
          <w:i/>
          <w:iCs/>
        </w:rPr>
        <w:t xml:space="preserve">, </w:t>
      </w:r>
      <w:r>
        <w:rPr>
          <w:b/>
          <w:bCs/>
          <w:i/>
          <w:iCs/>
        </w:rPr>
        <w:t>security_audit_log</w:t>
      </w:r>
      <w:r>
        <w:rPr>
          <w:i/>
          <w:iCs/>
        </w:rPr>
        <w:t>), §4.14.7 (</w:t>
      </w:r>
      <w:r>
        <w:rPr>
          <w:b/>
          <w:bCs/>
          <w:i/>
          <w:iCs/>
        </w:rPr>
        <w:t>consent_records</w:t>
      </w:r>
      <w:r>
        <w:rPr>
          <w:i/>
          <w:iCs/>
        </w:rPr>
        <w:t>). RBAC doc (who may read audit). Column structure is per Appendix C and is NOT restated here.</w:t>
      </w:r>
    </w:p>
    <w:p>
      <w:pPr>
        <w:pStyle w:val="BodyText"/>
        <w:rPr/>
      </w:pPr>
      <w:r>
        <w:rPr>
          <w:b/>
          <w:bCs/>
        </w:rPr>
        <w:t>Capture mechanics.</w:t>
      </w:r>
      <w:r>
        <w:rPr/>
        <w:t xml:space="preserve"> Every INSERT/UPDATE/soft-DELETE on any business table fires a </w:t>
      </w:r>
      <w:r>
        <w:rPr>
          <w:b/>
          <w:bCs/>
        </w:rPr>
        <w:t>database trigger</w:t>
      </w:r>
      <w:r>
        <w:rPr/>
        <w:t xml:space="preserve"> writing one immutable row to audit_log — not application code, so no API bypass or bug can suppress it (FR-P05-001, Appendix C.1). 100% mutation capture, zero gaps. audit_log grants no UPDATE/DELETE to any DB user; the sole permitted mutation is a DPDPA right-to-erasure redaction marker on old_value. PII is stored masked in audit rows (raw PII never written). </w:t>
      </w:r>
      <w:r>
        <w:rPr>
          <w:b/>
          <w:bCs/>
        </w:rPr>
        <w:t>Reading an audit log is itself an audited action.</w:t>
      </w:r>
    </w:p>
    <w:p>
      <w:pPr>
        <w:pStyle w:val="BodyText"/>
        <w:rPr/>
      </w:pPr>
      <w:r>
        <w:rPr>
          <w:b/>
          <w:bCs/>
        </w:rPr>
        <w:t>security_audit_log.</w:t>
      </w:r>
      <w:r>
        <w:rPr/>
        <w:t xml:space="preserve"> Auth and permission events (login, RBAC_CHANGE, permission denials). Org Admin may query within tenant.</w:t>
      </w:r>
    </w:p>
    <w:p>
      <w:pPr>
        <w:pStyle w:val="BodyText"/>
        <w:rPr/>
      </w:pPr>
      <w:r>
        <w:rPr>
          <w:b/>
          <w:bCs/>
        </w:rPr>
        <w:t>Retention &amp;</w:t>
      </w:r>
      <w:r>
        <w:rPr/>
        <w:t>** tamper-evidence.** Minimum 7 years; entries archivable to cold storage after 2 years but queryable within 24h; exportable as structured data for regulators. Tamper-evidence via append-only + (proposed) periodic hash-chaining (see Z).</w:t>
      </w:r>
    </w:p>
    <w:p>
      <w:pPr>
        <w:pStyle w:val="BodyText"/>
        <w:rPr/>
      </w:pPr>
      <w:r>
        <w:rPr>
          <w:b/>
          <w:bCs/>
        </w:rPr>
        <w:t>Consent (DPDPA).</w:t>
      </w:r>
      <w:r>
        <w:rPr/>
        <w:t xml:space="preserve"> consent_records capture lifecycle (grant/withdraw); right-to-erasure redaction is the only audit overwrite path.</w:t>
      </w:r>
    </w:p>
    <w:p>
      <w:pPr>
        <w:pStyle w:val="BodyText"/>
        <w:rPr/>
      </w:pPr>
      <w:r>
        <w:rPr>
          <w:b/>
          <w:bCs/>
        </w:rPr>
        <w:t>Query/export contract.</w:t>
      </w:r>
    </w:p>
    <w:p>
      <w:pPr>
        <w:pStyle w:val="BodyText"/>
        <w:rPr/>
      </w:pPr>
      <w:bookmarkStart w:id="7" w:name="p05-audit--compliance-log"/>
      <w:r>
        <w:rPr/>
        <w:t>Service: Audit.query / Audit.export (implements FR-P05-001) Input: { filters(table, record, actor, date), scope } (read is itself logged) Output: { rows[] (PII masked per viewer tier), export_ref } Access: per RBAC (DPO / Org Admin within tenant)</w:t>
      </w:r>
      <w:bookmarkEnd w:id="7"/>
    </w:p>
    <w:p>
      <w:pPr>
        <w:pStyle w:val="Heading2"/>
        <w:rPr/>
      </w:pPr>
      <w:bookmarkStart w:id="8" w:name="p06-migration-toolkit"/>
      <w:r>
        <w:rPr/>
        <w:t>P06. Migration Toolkit</w:t>
      </w:r>
    </w:p>
    <w:p>
      <w:pPr>
        <w:pStyle w:val="FirstParagraph"/>
        <w:rPr/>
      </w:pPr>
      <w:r>
        <w:rPr>
          <w:i/>
          <w:iCs/>
        </w:rPr>
        <w:t xml:space="preserve">References: BRD §5.1.6 (FR-P06-001), Appendix E (wave detail), §11 (migration </w:t>
      </w:r>
      <w:r>
        <w:rPr>
          <w:b/>
          <w:bCs/>
          <w:i/>
          <w:iCs/>
        </w:rPr>
        <w:t>&amp;</w:t>
      </w:r>
      <w:r>
        <w:rPr>
          <w:i/>
          <w:iCs/>
        </w:rPr>
        <w:t xml:space="preserve"> launch), §4.14.9 (</w:t>
      </w:r>
      <w:r>
        <w:rPr>
          <w:b/>
          <w:bCs/>
          <w:i/>
          <w:iCs/>
        </w:rPr>
        <w:t>migration_runs</w:t>
      </w:r>
      <w:r>
        <w:rPr>
          <w:i/>
          <w:iCs/>
        </w:rPr>
        <w:t>). Waves and approach are referenced; the framework is authored.</w:t>
      </w:r>
    </w:p>
    <w:p>
      <w:pPr>
        <w:pStyle w:val="BodyText"/>
        <w:rPr/>
      </w:pPr>
      <w:r>
        <w:rPr>
          <w:b/>
          <w:bCs/>
        </w:rPr>
        <w:t>ETL+V framework.</w:t>
      </w:r>
      <w:r>
        <w:rPr/>
        <w:t xml:space="preserve"> Extract → Validate → Transform → Load → Verify, scripted idempotently (re-running yields the same result, FR-P06-001). Every migrated table carries darwinbox_source_id (permanent traceability + dedup key). Three mandatory staging dry runs gate production cutover.</w:t>
      </w:r>
    </w:p>
    <w:p>
      <w:pPr>
        <w:pStyle w:val="BodyText"/>
        <w:rPr/>
      </w:pPr>
      <w:r>
        <w:rPr>
          <w:b/>
          <w:bCs/>
        </w:rPr>
        <w:t>Waves (reference Appendix E):</w:t>
      </w:r>
      <w:r>
        <w:rPr/>
        <w:t xml:space="preserve"> Wave 1 (employee master, org structure, leave balances + 2-yr history, …) completes before Phase-1 go-live; Wave 2 (performance history 4 cycles, job history, contracts, …) before/concurrent; Wave 3 (payroll history, Phase 2) zero-tolerance on numeric discrepancies. Authored here: profiling, the field-mapping framework the FS mappings consume, reconciliation tolerances, the migration_runs ledger, rollback/re-run, and cutover freeze. Failed records are logged with source row + the violated rule. Darwinbox kept read-only ≥ 4 weeks post-go-live. Access: Platform Super Admin (tenant-level) + HR Admin (entity-level data) per FR-P06-001.</w:t>
      </w:r>
      <w:bookmarkEnd w:id="8"/>
    </w:p>
    <w:p>
      <w:pPr>
        <w:pStyle w:val="Heading2"/>
        <w:rPr/>
      </w:pPr>
      <w:bookmarkStart w:id="9" w:name="x-cross-cutting-infrastructure"/>
      <w:r>
        <w:rPr/>
        <w:t>X. Cross-cutting Infrastructure</w:t>
      </w:r>
    </w:p>
    <w:p>
      <w:pPr>
        <w:pStyle w:val="FirstParagraph"/>
        <w:rPr/>
      </w:pPr>
      <w:r>
        <w:rPr>
          <w:i/>
          <w:iCs/>
        </w:rPr>
        <w:t>References: BRD §4.14.8 (</w:t>
      </w:r>
      <w:r>
        <w:rPr>
          <w:b/>
          <w:bCs/>
          <w:i/>
          <w:iCs/>
        </w:rPr>
        <w:t>jobs</w:t>
      </w:r>
      <w:r>
        <w:rPr>
          <w:i/>
          <w:iCs/>
        </w:rPr>
        <w:t>), §4.14.10 (</w:t>
      </w:r>
      <w:r>
        <w:rPr>
          <w:b/>
          <w:bCs/>
          <w:i/>
          <w:iCs/>
        </w:rPr>
        <w:t>notifications</w:t>
      </w:r>
      <w:r>
        <w:rPr>
          <w:i/>
          <w:iCs/>
        </w:rPr>
        <w:t>), Appendix F (integrations); Foundation FS §4 (job index) and §5 (message catalogue).</w:t>
      </w:r>
    </w:p>
    <w:p>
      <w:pPr>
        <w:pStyle w:val="BodyText"/>
        <w:rPr/>
      </w:pPr>
      <w:r>
        <w:rPr>
          <w:b/>
          <w:bCs/>
        </w:rPr>
        <w:t>X.1 Background Jobs — scheduler/runner.</w:t>
      </w:r>
      <w:r>
        <w:rPr/>
        <w:t xml:space="preserve"> The platform owns the scheduler/runner; </w:t>
      </w:r>
      <w:r>
        <w:rPr>
          <w:b/>
          <w:bCs/>
        </w:rPr>
        <w:t>each module’s job logic and cadence live in its FS, and the consolidated index lives in Foundation FS §4</w:t>
      </w:r>
      <w:r>
        <w:rPr/>
        <w:t xml:space="preserve"> — this section owns only the infrastructure and the registration contract. | Attribute | Content | | — | — | | Registration | A job registers { job_id, schedule(cron/event, tz), tenant_scope } against the runner (ids per Foundation §4) | | Runner guarantees | Idempotent (per-period run key in jobs); retry w/ exponential backoff ×3; terminal failure → JOB-FAIL → MSG-SYS-JOBFAIL (Foundation §5) | | Isolation | Per-tenant execution; period lock vs concurrent user writes for balance/period-closing jobs | | Catch-up | Missed-run detection and catch-up policy per job | | Observability | Run audit row (correlation id, rows affected, outcome) per §0.5 / Appendix C | | Registered jobs | Foundation §4 index now includes M11 (BULKLTR, RETENTION, DISPOSAL, SIGNOFF-REMIND) and M17 (SLA, WARRANTY, AUDIT, RECOVERY); logic in the respective module FS |</w:t>
      </w:r>
    </w:p>
    <w:p>
      <w:pPr>
        <w:pStyle w:val="BodyText"/>
        <w:rPr/>
      </w:pPr>
      <w:r>
        <w:rPr>
          <w:b/>
          <w:bCs/>
        </w:rPr>
        <w:t>X.2 Notification Infrastructure.</w:t>
      </w:r>
      <w:r>
        <w:rPr/>
        <w:t xml:space="preserve"> The engine, channels, delivery, and retry. Channels per BRD §9.1 (IN_APP + EMAIL fire in parallel for approvals); recipients/triggers per BRD §9 (W.3 holds the config model). </w:t>
      </w:r>
      <w:r>
        <w:rPr>
          <w:b/>
          <w:bCs/>
        </w:rPr>
        <w:t>Per-message templates live in the Foundation FS Message Catalogue (§5) and the module FS slices — referenced by id, never duplicated here.</w:t>
      </w:r>
      <w:r>
        <w:rPr/>
        <w:t xml:space="preserve"> Authored: delivery retry + bounce handling, dedup/throttle/digest, quiet-hours/opt-out, per-tenant sender config. Aligned to </w:t>
      </w:r>
      <w:r>
        <w:rPr>
          <w:b/>
          <w:bCs/>
        </w:rPr>
        <w:t>BRD §9.9</w:t>
      </w:r>
      <w:r>
        <w:rPr/>
        <w:t xml:space="preserve">: retry exponential backoff up to </w:t>
      </w:r>
      <w:r>
        <w:rPr>
          <w:b/>
          <w:bCs/>
        </w:rPr>
        <w:t>5 attempts</w:t>
      </w:r>
      <w:r>
        <w:rPr/>
        <w:t xml:space="preserve"> + </w:t>
      </w:r>
      <w:r>
        <w:rPr>
          <w:b/>
          <w:bCs/>
        </w:rPr>
        <w:t>dead-letter queue</w:t>
      </w:r>
      <w:r>
        <w:rPr/>
        <w:t xml:space="preserve">; </w:t>
      </w:r>
      <w:r>
        <w:rPr>
          <w:b/>
          <w:bCs/>
        </w:rPr>
        <w:t>EMAIL for approval-workflow and statutory notifications is mandatory</w:t>
      </w:r>
      <w:r>
        <w:rPr/>
        <w:t xml:space="preserve"> (not user-suppressible); </w:t>
      </w:r>
      <w:r>
        <w:rPr>
          <w:b/>
          <w:bCs/>
        </w:rPr>
        <w:t>digest mode</w:t>
      </w:r>
      <w:r>
        <w:rPr/>
        <w:t xml:space="preserve"> per user for non-urgent IN_APP; every dispatch audit-logged. Module event families now include </w:t>
      </w:r>
      <w:r>
        <w:rPr>
          <w:b/>
          <w:bCs/>
        </w:rPr>
        <w:t>MSG-M11-</w:t>
      </w:r>
      <w:r>
        <w:rPr/>
        <w:t xml:space="preserve">* (policy-published, letter-issued, sign-off assigned/remind/declined, disposal-due) and </w:t>
      </w:r>
      <w:r>
        <w:rPr>
          <w:b/>
          <w:bCs/>
        </w:rPr>
        <w:t>MSG-M17-</w:t>
      </w:r>
      <w:r>
        <w:rPr/>
        <w:t>* (assign, ack-pending, ticket-assigned, SLA pre-breach/breach, catalog-approval, lost, write-off, PM-open).</w:t>
      </w:r>
    </w:p>
    <w:p>
      <w:pPr>
        <w:pStyle w:val="BodyText"/>
        <w:rPr/>
      </w:pPr>
      <w:r>
        <w:rPr>
          <w:b/>
          <w:bCs/>
        </w:rPr>
        <w:t>X.3 Integration Framework.</w:t>
      </w:r>
      <w:r>
        <w:rPr/>
        <w:t xml:space="preserve"> Per Appendix F register. Authored: the call/credential/retry pattern, circuit-breaking, idempotency of outbound calls, payload versioning, per-integration error mapping. Credentials from integration_credentials (P04).</w:t>
      </w:r>
      <w:bookmarkEnd w:id="9"/>
    </w:p>
    <w:p>
      <w:pPr>
        <w:pStyle w:val="Heading2"/>
        <w:rPr/>
      </w:pPr>
      <w:bookmarkStart w:id="10" w:name="X1d4f949cd212254493ba572350c73ff60d1d9fb"/>
      <w:r>
        <w:rPr/>
        <w:t>W. Configured Content — Process Flows, Forms &amp; Notification Configuration</w:t>
      </w:r>
    </w:p>
    <w:p>
      <w:pPr>
        <w:pStyle w:val="FirstParagraph"/>
        <w:rPr/>
      </w:pPr>
      <w:r>
        <w:rPr>
          <w:i/>
          <w:iCs/>
        </w:rPr>
        <w:t>The single source for configured (not coded) content that runs on the engines and is consumed by every module + FS. Grounded in the actual Phase-1 configuration (Appendix I, Appendix J) and the configuration exports (Workflows, Approval Flow + Stages, Custom Flow + Stages, Skip/SLA Settings, Custom Fields, Confirmation Workflow). Owned by Org Admin (build); HR Admin / module admins bind (RBAC §2.1.1).</w:t>
      </w:r>
    </w:p>
    <w:p>
      <w:pPr>
        <w:pStyle w:val="BodyText"/>
        <w:rPr/>
      </w:pPr>
      <w:r>
        <w:rPr>
          <w:b/>
          <w:bCs/>
        </w:rPr>
        <w:t>W.1 Process Flow Definitions.</w:t>
      </w:r>
      <w:r>
        <w:rPr/>
        <w:t xml:space="preserve"> </w:t>
      </w:r>
      <w:r>
        <w:rPr>
          <w:i/>
          <w:iCs/>
        </w:rPr>
        <w:t xml:space="preserve">References: Appendix I (I.2 Workflows, I.3 Approval Flows, I.4 Custom Flows, I.5 Confirmation Workflows, I.6 SLA </w:t>
      </w:r>
      <w:r>
        <w:rPr>
          <w:b/>
          <w:bCs/>
          <w:i/>
          <w:iCs/>
        </w:rPr>
        <w:t>&amp;</w:t>
      </w:r>
      <w:r>
        <w:rPr>
          <w:i/>
          <w:iCs/>
        </w:rPr>
        <w:t xml:space="preserve"> Skip, I.7 Flow Categories); Appendix D (patterns); P01 (engine). Executes on P01; the FS references which flow a screen triggers and never redefines it.</w:t>
      </w:r>
    </w:p>
    <w:p>
      <w:pPr>
        <w:pStyle w:val="BodyText"/>
        <w:rPr/>
      </w:pPr>
      <w:r>
        <w:rPr/>
        <w:t>The definition model the Org Admin configuration screens write and the P01 engine executes: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Concept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(authored)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Grounded 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Flow category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Grouping of flows for governance/visibility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Flow_Category (3)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Multi-stage process: ordered stages, each with action type (Data-Collection-Form / Notification / Document-Generation), assignee, SLA, skip, send-back routing; pattern from Appendix D; Series/Parallel/Conditional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(68), Workflow Stages (189; action types: forms 99 / notification 67 / doc-gen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flow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Ordered approval stages: approver context + assignment basis, decision matrix, exception/re-route, allotted time, visibility/confidential roles, send-back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Flow (76; Module Transaction: Employee/Default/Offer Letter/Position Update), Approval Flow Stages (104)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 flow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flow on a custom application form; trigger Manual/Automatic; initiator; approval flow (+ on-revoke); confidential; email-on-init/revoke/complete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 Flow Stages (78; Manual 68 / Automatic 5; forms CL, RF, CUST_*)</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workflow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Probation→Confirm/Extend/Separate stages with per-action forms, initiate flow/role, acknowledgement emails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Workflow (10) + Stages (20)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 setting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Skip-condition subject/rule; reassign-to-role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Skip_Setting (4) + Stages (6)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 setting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 level, trigger before/after, duration, breach output, delegate-to-roles, cancel-dependent-stages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SLA_Setting + Stages</w:t>
            </w:r>
          </w:p>
        </w:tc>
      </w:tr>
    </w:tbl>
    <w:p>
      <w:pPr>
        <w:pStyle w:val="BodyText"/>
        <w:rPr/>
      </w:pPr>
      <w:r>
        <w:rPr>
          <w:b/>
          <w:bCs/>
        </w:rPr>
        <w:t>Module flows running on this model.</w:t>
      </w:r>
      <w:r>
        <w:rPr/>
        <w:t xml:space="preserve"> M02 onboarding cluster; M03 separation + IT-clearance; M01 sensitive-field change &amp; lifecycle letters; M08 requisition/offer; M09 review/calibration; </w:t>
      </w:r>
      <w:r>
        <w:rPr>
          <w:b/>
          <w:bCs/>
        </w:rPr>
        <w:t>M11 document-generation &amp;</w:t>
      </w:r>
      <w:r>
        <w:rPr/>
        <w:t xml:space="preserve">** policy sign-off** (Req G; Workflow-Stages “Document Generation” = 23 configured stages); </w:t>
      </w:r>
      <w:r>
        <w:rPr>
          <w:b/>
          <w:bCs/>
        </w:rPr>
        <w:t>M17 service-desk ticket lifecycle, asset provisioning → assignment, separation → IT-clearance → recovery (FR-M17-004), and asset-audit certification</w:t>
      </w:r>
      <w:r>
        <w:rPr/>
        <w:t>. Each is a configured flow definition executed by P01; the owning module FS references which screen triggers it.</w:t>
      </w:r>
    </w:p>
    <w:p>
      <w:pPr>
        <w:pStyle w:val="BodyText"/>
        <w:rPr/>
      </w:pPr>
      <w:r>
        <w:rPr>
          <w:b/>
          <w:bCs/>
        </w:rPr>
        <w:t>Versioning:</w:t>
      </w:r>
      <w:r>
        <w:rPr/>
        <w:t xml:space="preserve"> circular-reference rejection on save; in-flight instances run the pinned version (P01); deprecation not deletion. Decision-matrix and skip resolution evaluated at stage entry.</w:t>
      </w:r>
    </w:p>
    <w:p>
      <w:pPr>
        <w:pStyle w:val="BodyText"/>
        <w:rPr/>
      </w:pPr>
      <w:r>
        <w:rPr>
          <w:b/>
          <w:bCs/>
        </w:rPr>
        <w:t>Builder screens (prototype, added v1.3).</w:t>
      </w:r>
      <w:r>
        <w:rPr/>
        <w:t xml:space="preserve"> The Org Admin console provides working builders for these models: </w:t>
      </w:r>
      <w:r>
        <w:rPr>
          <w:rStyle w:val="VerbatimChar"/>
        </w:rPr>
        <w:t>cfg-workflow-builder</w:t>
      </w:r>
      <w:r>
        <w:rPr/>
        <w:t xml:space="preserve"> — the process-flow builder surfacing the full workflow-stage component set (identity &amp; action type; assignment &amp; reviewers; attached form; timing &amp; triggers; routing controls — decision matrix / skip / visibility; action-type option panels — policy sign-off, help desk, data collection, schedule assessment, verification, recognition, survey, extra payment, calendar, attendance; per-event notifications; button aliases) — and </w:t>
      </w:r>
      <w:r>
        <w:rPr>
          <w:rStyle w:val="VerbatimChar"/>
        </w:rPr>
        <w:t>cfg-approval-builder</w:t>
      </w:r>
      <w:r>
        <w:rPr/>
        <w:t xml:space="preserve"> — approval levels, exception levels, decision matrix, re-route, send-back, allotted time / SLA, and button aliases. Per OPEN-PLAT-04 this spec owns the models; the screens bind them and present a representative field set, with exhaustive attributes in Workflow_Stages (121) and Approval_Flow_Stages (68).</w:t>
      </w:r>
    </w:p>
    <w:p>
      <w:pPr>
        <w:pStyle w:val="BodyText"/>
        <w:rPr/>
      </w:pPr>
      <w:r>
        <w:rPr>
          <w:b/>
          <w:bCs/>
        </w:rPr>
        <w:t>W.2 Form Definitions.</w:t>
      </w:r>
      <w:r>
        <w:rPr/>
        <w:t xml:space="preserve"> </w:t>
      </w:r>
      <w:r>
        <w:rPr>
          <w:i/>
          <w:iCs/>
        </w:rPr>
        <w:t>References: Appendix J (Onboarding Form Catalog: 2 candidate variants + 7 workflow/stakeholder forms); Custom Fields config; Foundation FS §2 (validation library). Consumed by onboarding, workflow data-collection stages, and application forms (leave/attendance/recruitment) — they reference a form id, never its fields.</w:t>
      </w:r>
    </w:p>
    <w:p>
      <w:pPr>
        <w:pStyle w:val="BodyText"/>
        <w:rPr/>
      </w:pPr>
      <w:r>
        <w:rPr/>
        <w:t>The form model: fields &amp; types, validation (reference Foundation VAL-* ids — never re-author), conditional show/hide &amp; required-if logic, entity data-binding + write-back, per-role field visibility (reference RBAC §3.9), translations/i18n, and versioning (a form used by in-flight instances keeps its version). Custom fields are grounded in the 40 configured fields (display targets: HR Documents 23, Recruitment Requisition 7, Performance 4, Separation variants, Employee Termination). Onboarding forms per Appendix J (candidate self-fill vs stakeholder-fill workflow forms).</w:t>
      </w:r>
    </w:p>
    <w:p>
      <w:pPr>
        <w:pStyle w:val="BodyText"/>
        <w:rPr/>
      </w:pPr>
      <w:r>
        <w:rPr>
          <w:b/>
          <w:bCs/>
        </w:rPr>
        <w:t>Builder screen (prototype, added v1.3).</w:t>
      </w:r>
      <w:r>
        <w:rPr/>
        <w:t xml:space="preserve"> </w:t>
      </w:r>
      <w:r>
        <w:rPr>
          <w:rStyle w:val="VerbatimChar"/>
        </w:rPr>
        <w:t>cfg-form-builder</w:t>
      </w:r>
      <w:r>
        <w:rPr/>
        <w:t xml:space="preserve"> provides the custom-form authoring UX — a field palette plus per-field type, required/editable, options/default, validation (Foundation VAL-*), per-role visibility, and per-field logic (conditional show / required-if), entity data-binding/write-back, decimals, help text and i18n. It is reachable standalone (Form builder) and from a workflow stage’s form component, so a custom form is authored as a subset of a workflow. This spec owns the model; the screen binds it.</w:t>
      </w:r>
    </w:p>
    <w:p>
      <w:pPr>
        <w:pStyle w:val="BodyText"/>
        <w:rPr/>
      </w:pPr>
      <w:r>
        <w:rPr>
          <w:b/>
          <w:bCs/>
        </w:rPr>
        <w:t>W.3 Notification Configuration.</w:t>
      </w:r>
      <w:r>
        <w:rPr/>
        <w:t xml:space="preserve"> </w:t>
      </w:r>
      <w:r>
        <w:rPr>
          <w:i/>
          <w:iCs/>
        </w:rPr>
        <w:t>References: BRD §9 (who-notifies-whom matrices §9.2–§9.8) and §9.9 (governance); §4.14.10 (</w:t>
      </w:r>
      <w:r>
        <w:rPr>
          <w:b/>
          <w:bCs/>
          <w:i/>
          <w:iCs/>
        </w:rPr>
        <w:t>notifications</w:t>
      </w:r>
      <w:r>
        <w:rPr>
          <w:i/>
          <w:iCs/>
        </w:rPr>
        <w:t>); X.2 (engine). Per-message TEMPLATES live in the Foundation FS Message Catalogue (§5) — referenced by id, not duplicated.</w:t>
      </w:r>
    </w:p>
    <w:p>
      <w:pPr>
        <w:pStyle w:val="BodyText"/>
        <w:rPr/>
      </w:pPr>
      <w:bookmarkStart w:id="11" w:name="X1d4f949cd212254493ba572350c73ff60d1d9fb"/>
      <w:r>
        <w:rPr/>
        <w:t>The configuration model: per-event / per-stage recipient resolution (default recipients / additional recipients / CC roles / CC users — as carried on workflow &amp; approval-flow stages), channel selection (IN_APP/EMAIL/SMS per §9.1), reminder cadence vs escalation distinction, escalation targets, role→user expansion, suppression/dedup, and per-tenant overrides. Templates are referenced by Msg id; this model decides recipients/channels/timing, the engine (X.2) delivers, the catalogue (Foundation §5) supplies the copy.</w:t>
      </w:r>
      <w:bookmarkEnd w:id="11"/>
    </w:p>
    <w:p>
      <w:pPr>
        <w:pStyle w:val="Heading2"/>
        <w:rPr/>
      </w:pPr>
      <w:r>
        <w:rPr/>
        <w:t>Y. Service Contract Register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Callers (modules / FS)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Implements (BRD FR / entity)</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items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WorkflowEngine.start/advance/…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M02, M03, M04, M05, M08, M09 (per FS)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FR-P01-001; workflows/instances/actions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Authorization.check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module API; P01 resolver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FR-P02-001/002; §3.7/§3.9/§3.10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ChatAgent.query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global chat surface (all module FS)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FR-P03-001/002; ai_chat_queries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Tenant/Org admin services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 Platform Super Admin FS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FR-P04-001/002; tenants, integration_credentials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Audit.query / export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DPO, Org Admin; all mutations (trigger)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FR-P05-001; audit_log, security_audit_log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Migration ETL+V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FR-P06-001; migration_runs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Jobs.register / run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module’s jobs (Foundation §4)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 (§4.14.8)</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Notification.send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module (via §9)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notifications (§4.14.10)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DocumentGen.generate / sign-off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 M02/M03/M09 by ref)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letter_templates, signoff_transactions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 Asset services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(employee, manager, IT roles)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FR-M17-004 (recovery), §8.9 (asset state)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 w:name="y-service-contract-register"/>
            <w:bookmarkEnd w:id="12"/>
          </w:p>
        </w:tc>
      </w:tr>
    </w:tbl>
    <w:p>
      <w:pPr>
        <w:pStyle w:val="Heading2"/>
        <w:rPr/>
      </w:pPr>
      <w:r>
        <w:rPr/>
        <w:t>Z. Open Items, Conflicts &amp; Recommendations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resolution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runner (here, X.1) vs per-job cadence/logic (module FS) vs index (Foundation §4) must be agreed so a job isn’t specced twice.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Engineering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Adopt the three-way split (mirrors Foundation OPEN-FS-FND-03): X.1 = runner infra; module FS = cadence + logic; Foundation §4 = index + shared failure standard.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Drift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P01 references the HOD per-workflow approval-authority toggle and the L1-fallback as capability behaviour; these depend on RBAC OPEN-RBAC-03 (flag registry consolidation).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 RBAC OPEN-RBAC-03 first; P02 enforcement then references the final flag list.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Appendix C fixes audit columns/retention but tamper-evidence mechanism is not specified.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 / 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periodic hash-chaining of audit_log partitions with the chain head exported to WORM storage;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W.1/W.2/W.3 own the configuration MODELS; the Org Admin – Configuration FS owns the builder SCREENS.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this spec owns the models; the Admin FS references them and adds screen/layout. No model fields re-authored in the FS.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config (W.3) recipient fields are inferred from workflow/approval-flow stage exports (default/additional/CC roles/CC users); confirm these are the complete recipient dimensions against BRD §9.9.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the recipient-resolution dimensions and channel set against §9.9 governance.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Document Management FS and M17 Assets &amp; IT FS now authored; document-generation/sign-off and asset/service-desk flows added to W.1, jobs to X.1, notifications to X.2, service contracts to §Y.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in v1.1.</w:t>
            </w:r>
          </w:p>
        </w:tc>
      </w:tr>
    </w:tbl>
    <w:p>
      <w:pPr>
        <w:pStyle w:val="Heading2"/>
        <w:rPr/>
      </w:pPr>
      <w:r>
        <w:rPr/>
        <w:t>Manager-role review (Round 3)</w:t>
      </w:r>
    </w:p>
    <w:p>
      <w:pPr>
        <w:pStyle w:val="Compact"/>
        <w:numPr>
          <w:ilvl w:val="0"/>
          <w:numId w:val="1"/>
        </w:numPr>
        <w:rPr/>
      </w:pPr>
      <w:r>
        <w:rPr>
          <w:b/>
          <w:bCs/>
        </w:rPr>
        <w:t>P01 — bulk actions on approval/task queues:</w:t>
      </w:r>
      <w:r>
        <w:rPr/>
        <w:t xml:space="preserve"> approval queues support multi-select with </w:t>
      </w:r>
      <w:r>
        <w:rPr>
          <w:b/>
          <w:bCs/>
        </w:rPr>
        <w:t>bulk approve / reject / delegate</w:t>
      </w:r>
      <w:r>
        <w:rPr/>
        <w:t xml:space="preserve">. A bulk action is an iteration of the same single-item permission; partial failures are reported </w:t>
      </w:r>
      <w:r>
        <w:rPr>
          <w:b/>
          <w:bCs/>
        </w:rPr>
        <w:t>per row</w:t>
      </w:r>
      <w:r>
        <w:rPr/>
        <w:t xml:space="preserve"> (the batch does not fail wholesale); bulk reject takes one shared reason. Applied in Prototype v2.2 to the high-volume queues (Leave, Regularisation, Check-in, Comp-off). Decision queues (appraisal moderation, separation, probation) are individual-judgment and are intentionally excluded pending product confirmation.</w:t>
      </w:r>
    </w:p>
    <w:p>
      <w:pPr>
        <w:pStyle w:val="Compact"/>
        <w:numPr>
          <w:ilvl w:val="0"/>
          <w:numId w:val="1"/>
        </w:numPr>
        <w:rPr/>
      </w:pPr>
      <w:r>
        <w:rPr>
          <w:b/>
          <w:bCs/>
        </w:rPr>
        <w:t>P01 — task routing &amp; taxonomy:</w:t>
      </w:r>
      <w:r>
        <w:rPr/>
        <w:t xml:space="preserve"> goal-plan, check-in and review-stage actions are first-class task types in the unified Tasks aggregation. </w:t>
      </w:r>
      <w:r>
        <w:rPr>
          <w:b/>
          <w:bCs/>
        </w:rPr>
        <w:t>Each task routes to exactly one workspace</w:t>
      </w:r>
      <w:r>
        <w:rPr/>
        <w:t xml:space="preserve"> (Me / My Team / Admin) so an admin-who-is-also-a-manager never sees the same task in two lists.</w:t>
      </w:r>
    </w:p>
    <w:p>
      <w:pPr>
        <w:pStyle w:val="Compact"/>
        <w:numPr>
          <w:ilvl w:val="0"/>
          <w:numId w:val="1"/>
        </w:numPr>
        <w:rPr/>
      </w:pPr>
      <w:r>
        <w:rPr>
          <w:b/>
          <w:bCs/>
        </w:rPr>
        <w:t>P02 / P03 — Workspace model:</w:t>
      </w:r>
      <w:r>
        <w:rPr/>
        <w:t xml:space="preserve"> the platform exposes a </w:t>
      </w:r>
      <w:r>
        <w:rPr>
          <w:b/>
          <w:bCs/>
        </w:rPr>
        <w:t>Workspace switcher</w:t>
      </w:r>
      <w:r>
        <w:rPr/>
        <w:t xml:space="preserve"> derived from the user's RBAC role holdings + has-reportees flag (Me / My Team / Admin). </w:t>
      </w:r>
      <w:r>
        <w:rPr>
          <w:b/>
          <w:bCs/>
        </w:rPr>
        <w:t>Admin is an exclusive workspace.</w:t>
      </w:r>
      <w:r>
        <w:rPr/>
        <w:t xml:space="preserve"> Workspace switches are audit-logged. See OPEN-FS-FND-05 for the BRD §3.4 self-service exclusivity decision.</w:t>
      </w:r>
    </w:p>
    <w:p>
      <w:pPr>
        <w:pStyle w:val="Heading2"/>
        <w:rPr/>
      </w:pPr>
      <w:bookmarkStart w:id="13" w:name="manager-role-review-round-3-follow-up"/>
      <w:r>
        <w:rPr/>
        <w:t>Manager-role review (Round 3 follow-up)</w:t>
      </w:r>
    </w:p>
    <w:p>
      <w:pPr>
        <w:pStyle w:val="Compact"/>
        <w:numPr>
          <w:ilvl w:val="0"/>
          <w:numId w:val="4"/>
        </w:numPr>
        <w:rPr/>
      </w:pPr>
      <w:r>
        <w:rPr>
          <w:b/>
          <w:bCs/>
        </w:rPr>
        <w:t>Subject-scoped profile shell / employee-context switch.</w:t>
      </w:r>
      <w:r>
        <w:rPr/>
        <w:t xml:space="preserve"> The profile/workspace surface is rendered by a single component parameterised by </w:t>
      </w:r>
      <w:r>
        <w:rPr>
          <w:b/>
          <w:bCs/>
        </w:rPr>
        <w:t>subject employee</w:t>
      </w:r>
      <w:r>
        <w:rPr/>
        <w:t xml:space="preserve"> + </w:t>
      </w:r>
      <w:r>
        <w:rPr>
          <w:b/>
          <w:bCs/>
        </w:rPr>
        <w:t>viewer context</w:t>
      </w:r>
      <w:r>
        <w:rPr/>
        <w:t xml:space="preserve"> (self | manager | admin). Selecting a reportee sets the active subject and switches context (banner + breadcrumb), Team remains the active workspace, and the same component renders the employee's full tab set scoped to that subject with viewer-gated actions/fields. Self and the manager reportee view are the </w:t>
      </w:r>
      <w:r>
        <w:rPr>
          <w:b/>
          <w:bCs/>
        </w:rPr>
        <w:t>same component</w:t>
      </w:r>
      <w:r>
        <w:rPr/>
        <w:t>, differing only by subject and RBAC-derived permissions — avoiding duplicate screens.</w:t>
      </w:r>
    </w:p>
    <w:p>
      <w:pPr>
        <w:pStyle w:val="Compact"/>
        <w:numPr>
          <w:ilvl w:val="0"/>
          <w:numId w:val="5"/>
        </w:numPr>
        <w:spacing w:before="36" w:after="36"/>
        <w:rPr/>
      </w:pPr>
      <w:r>
        <w:rPr>
          <w:b/>
          <w:bCs/>
        </w:rPr>
        <w:t>Admin-workspace exclusivity (OPEN-FS-FND-05 resolved).</w:t>
      </w:r>
      <w:r>
        <w:rPr/>
        <w:t xml:space="preserve"> Workspace availability is derived from RBAC role holdings + a </w:t>
      </w:r>
      <w:r>
        <w:rPr>
          <w:b/>
          <w:bCs/>
        </w:rPr>
        <w:t>derived</w:t>
      </w:r>
      <w:r>
        <w:rPr/>
        <w:t xml:space="preserve"> has-reportees flag (OPEN-FS-CFG-08). Admin is exclusive; self-service is not surfaced inside an admin workspace.</w:t>
      </w:r>
      <w:bookmarkEnd w:id="0"/>
      <w:bookmarkEnd w:id="13"/>
    </w:p>
    <w:sectPr>
      <w:headerReference w:type="default" r:id="rId6"/>
      <w:footerReference w:type="default" r:id="rId7"/>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num>
  <w:num w:numId="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2026-06-19T09:53:13Z</dcterms:created>
  <dc:creator/>
  <dc:description/>
  <dc:language>en-US</dc:language>
  <cp:lastModifiedBy/>
  <dcterms:modified xsi:type="dcterms:W3CDTF">2026-06-19T09:53:13Z</dcterms:modified>
  <cp:revision>0</cp:revision>
  <dc:subject/>
  <dc:title>PrimeSoft HRMS ��� Platform Specification v1.6</dc:title>
</cp:coreProperties>
</file>

<file path=docProps/custom.xml><?xml version="1.0" encoding="utf-8"?>
<Properties xmlns="http://schemas.openxmlformats.org/officeDocument/2006/custom-properties" xmlns:vt="http://schemas.openxmlformats.org/officeDocument/2006/docPropsVTypes"/>
</file>