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M01 employee profile management council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Artefact under evaluation:</w:t>
      </w:r>
      <w:r>
        <w:t xml:space="preserve"> </w:t>
      </w:r>
      <w:r>
        <w:rPr>
          <w:rFonts w:ascii="Consolas" w:hAnsi="Consolas"/>
          <w:sz w:val="20"/>
        </w:rPr>
        <w:t>docs/brd/v1/M01-employee-profile-management.md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</w:p>
    <w:p>
      <w:r>
        <w:rPr>
          <w:b/>
        </w:rPr>
        <w:t>Framed question:</w:t>
      </w:r>
      <w:r>
        <w:t xml:space="preserve"> Is this Employee Profile Management BRD complete, correct, and world-class for a leading global organisation's HRMS (with public-sector statutory needs)? What is missing, wrong, risky, over-engineered, or below best-in-class — and what concrete changes would make it bulletproof?</w:t>
      </w:r>
    </w:p>
    <w:p>
      <w:r>
        <w:rPr>
          <w:b/>
        </w:rPr>
        <w:t>Method:</w:t>
      </w:r>
      <w:r>
        <w:t xml:space="preserve"> 5 independent advisors → anonymous peer review → chairman synthesis → focused second pass → adopted improvements.</w:t>
      </w:r>
    </w:p>
    <w:p>
      <w:r>
        <w:rPr>
          <w:b/>
        </w:rPr>
        <w:t>Date:</w:t>
      </w:r>
      <w:r>
        <w:t xml:space="preserve"> 2026-06-30</w:t>
      </w:r>
    </w:p>
    <w:p>
      <w:pPr>
        <w:pStyle w:val="Heading2"/>
      </w:pPr>
      <w:r>
        <w:rPr>
          <w:b/>
          <w:color w:val="1F3864"/>
          <w:sz w:val="30"/>
        </w:rPr>
        <w:t>Chairman's Verdict (read this first)</w:t>
      </w:r>
    </w:p>
    <w:p>
      <w:r>
        <w:t xml:space="preserve">This is an </w:t>
      </w:r>
      <w:r>
        <w:rPr>
          <w:b/>
        </w:rPr>
        <w:t>unusually strong, genuinely buildable BRD</w:t>
      </w:r>
      <w:r>
        <w:t xml:space="preserve"> — top-decile for a public-sector HRMS and in several places (position management, effective dating, field-level access policy, outbox SR events, reversible dedup, consumption-API-as-SSOT) it is at honest Workday/SuccessFactors parity. It would pass most enterprise procurement bars today.</w:t>
      </w:r>
    </w:p>
    <w:p>
      <w:r>
        <w:t xml:space="preserve">It is </w:t>
      </w:r>
      <w:r>
        <w:rPr>
          <w:b/>
        </w:rPr>
        <w:t>not yet bulletproof</w:t>
      </w:r>
      <w:r>
        <w:t>, and the gaps cluster in three places that are precisely where a leading global organisation is judged:</w:t>
      </w:r>
    </w:p>
    <w:p>
      <w:pPr>
        <w:pStyle w:val="ListNumber"/>
      </w:pPr>
      <w:r>
        <w:rPr>
          <w:b/>
        </w:rPr>
        <w:t>Indian statutory compliance is asserted, not engineered.</w:t>
      </w:r>
      <w:r>
        <w:t xml:space="preserve"> "DPDP-aligned" and "Aadhaar tokenised" are claims, not designs. The Aadhaar Act 2016 / UIDAI Data Vault, DPDP consent-notice-grievance-DPO-breach mechanics, the retention-vs-erasure conflict, and category/PwD/DOB-change statutory processes are missing or hand-waved.</w:t>
      </w:r>
    </w:p>
    <w:p>
      <w:pPr>
        <w:pStyle w:val="ListNumber"/>
      </w:pPr>
      <w:r>
        <w:rPr>
          <w:b/>
        </w:rPr>
        <w:t>A few correctness/architecture defects are load-bearing.</w:t>
      </w:r>
      <w:r>
        <w:t xml:space="preserve"> Cross-module FK re-pointing during merge violates the bounded-context boundary the whole BRD is built on; personal attributes (name/gender/category/marital status) are overwritten instead of effective-dated; positions are not effective-dated (Pay-Commission revisions become unreconstructable); and a wrong FR cross-reference (§3 cites FR-012 for field access; it is FR-013).</w:t>
      </w:r>
    </w:p>
    <w:p>
      <w:pPr>
        <w:pStyle w:val="ListNumber"/>
      </w:pPr>
      <w:r>
        <w:rPr>
          <w:b/>
        </w:rPr>
        <w:t>One business rule is arguably unlawful and one target is unrealistic.</w:t>
      </w:r>
      <w:r>
        <w:t xml:space="preserve"> A data-quality </w:t>
      </w:r>
      <w:r>
        <w:rPr>
          <w:rFonts w:ascii="Consolas" w:hAnsi="Consolas"/>
          <w:sz w:val="20"/>
        </w:rPr>
        <w:t>BLOCKED</w:t>
      </w:r>
      <w:r>
        <w:t xml:space="preserve"> flag that excludes an employee from payroll can amount to withholding a employee's lawful salary; and the 99.5%-VALID-on-first/second-pass migration target is fantasy against paper service books.</w:t>
      </w:r>
    </w:p>
    <w:p>
      <w:r>
        <w:t xml:space="preserve">Recommendation: </w:t>
      </w:r>
      <w:r>
        <w:rPr>
          <w:b/>
        </w:rPr>
        <w:t>PROCEED to v2 with mandatory revisions</w:t>
      </w:r>
      <w:r>
        <w:t xml:space="preserve">, not a rewrite. Fix the compliance engineering, the merge boundary, attribute history, the payroll-blocking rule, and migration realism. The council's consolidated hand-off is the </w:t>
      </w:r>
      <w:r>
        <w:rPr>
          <w:b/>
        </w:rPr>
        <w:t>Adopted Improvements for BRD v2</w:t>
      </w:r>
      <w:r>
        <w:t xml:space="preserve"> list at the end (22 items).</w:t>
      </w:r>
    </w:p>
    <w:p>
      <w:pPr>
        <w:pStyle w:val="Heading2"/>
      </w:pPr>
      <w:r>
        <w:rPr>
          <w:b/>
          <w:color w:val="1F3864"/>
          <w:sz w:val="30"/>
        </w:rPr>
        <w:t>Advisor Responses</w:t>
      </w:r>
    </w:p>
    <w:p>
      <w:pPr>
        <w:pStyle w:val="Heading3"/>
      </w:pPr>
      <w:r>
        <w:rPr>
          <w:b/>
          <w:color w:val="2E5B9E"/>
          <w:sz w:val="26"/>
        </w:rPr>
        <w:t>Advisor A — The Proponent (the VC who backed it)</w:t>
      </w:r>
    </w:p>
    <w:p>
      <w:r>
        <w:t xml:space="preserve">I backed this because it does the one thing most HR platforms never get right: it treats the employee record as a </w:t>
      </w:r>
      <w:r>
        <w:rPr>
          <w:b/>
        </w:rPr>
        <w:t>product with a contract</w:t>
      </w:r>
      <w:r>
        <w:t>, not a table. FR-019 (consumption API + change feed + etag/conditional-GET + point-in-time) plus the build instruction "do not write a second employee master" is exactly the discipline that lets 13 downstream modules ship in parallel without identity drift. That is the moat. Every competing in-house enterprise HR build fails here — payroll keeps its own name spelling, pension keeps its own DOB — and this BRD structurally forbids it.</w:t>
      </w:r>
    </w:p>
    <w:p>
      <w:r>
        <w:t xml:space="preserve">The </w:t>
      </w:r>
      <w:r>
        <w:rPr>
          <w:b/>
        </w:rPr>
        <w:t>position model is the second moat</w:t>
      </w:r>
      <w:r>
        <w:t xml:space="preserve">. Separating </w:t>
      </w:r>
      <w:r>
        <w:rPr>
          <w:rFonts w:ascii="Consolas" w:hAnsi="Consolas"/>
          <w:sz w:val="20"/>
        </w:rPr>
        <w:t>positions</w:t>
      </w:r>
      <w:r>
        <w:t xml:space="preserve"> (sanctioned posts, strength, </w:t>
      </w:r>
      <w:r>
        <w:rPr>
          <w:rFonts w:ascii="Consolas" w:hAnsi="Consolas"/>
          <w:sz w:val="20"/>
        </w:rPr>
        <w:t>reports_to_position_id</w:t>
      </w:r>
      <w:r>
        <w:t xml:space="preserve">) from </w:t>
      </w:r>
      <w:r>
        <w:rPr>
          <w:rFonts w:ascii="Consolas" w:hAnsi="Consolas"/>
          <w:sz w:val="20"/>
        </w:rPr>
        <w:t>employee_job_assignments</w:t>
      </w:r>
      <w:r>
        <w:t xml:space="preserve"> is Workday's core insight and is rare in Indian public-sector systems that conflate person and post. It gives you vacancy analytics, org-chart-from-positions, and clean transfer/promotion semantics (M05/M06 just write assignments) for free.</w:t>
      </w:r>
    </w:p>
    <w:p>
      <w:r>
        <w:t xml:space="preserve">The </w:t>
      </w:r>
      <w:r>
        <w:rPr>
          <w:b/>
        </w:rPr>
        <w:t>effective-dating + point-in-time + outbox</w:t>
      </w:r>
      <w:r>
        <w:t xml:space="preserve"> trio is best-in-class plumbing. The exclusion-constraint on overlapping assignments, the "one current substantive assignment" invariant, and the transactional outbox for SR events mean the system can defend any past state to an auditor or a pension tribunal — a genuine differentiator in a litigation-heavy enterprise context.</w:t>
      </w:r>
    </w:p>
    <w:p>
      <w:r>
        <w:t xml:space="preserve">The </w:t>
      </w:r>
      <w:r>
        <w:rPr>
          <w:b/>
        </w:rPr>
        <w:t>privacy surface is a moat masquerading as compliance</w:t>
      </w:r>
      <w:r>
        <w:t>: a server-side field-access policy engine (FULL/MASKED/HIDDEN), fail-closed default, break-glass with reason capture, and self-visibility control is SuccessFactors Role-Based-Permission-class. Most teams bolt masking onto the frontend and fail an audit; this puts it in the read path for both UI and API.</w:t>
      </w:r>
    </w:p>
    <w:p>
      <w:r>
        <w:t xml:space="preserve">Opportunity missed: this team has built an MDM-grade identity spine and is under-monetising it. The dedup/merge engine, the change feed, and the completeness/DQ scoring could be packaged as a </w:t>
      </w:r>
      <w:r>
        <w:rPr>
          <w:b/>
        </w:rPr>
        <w:t>workforce data-quality observability product</w:t>
      </w:r>
      <w:r>
        <w:t xml:space="preserve"> sold to other states. They've also left </w:t>
      </w:r>
      <w:r>
        <w:rPr>
          <w:b/>
        </w:rPr>
        <w:t>employee experience</w:t>
      </w:r>
      <w:r>
        <w:t xml:space="preserve"> on the table — the self-service view is read-only; a guided "verify-your-own-profile" campaign with the completeness ring would crush data-quality KPIs at near-zero cost. Fund it.</w:t>
      </w:r>
    </w:p>
    <w:p>
      <w:pPr>
        <w:pStyle w:val="Heading3"/>
      </w:pPr>
      <w:r>
        <w:rPr>
          <w:b/>
          <w:color w:val="2E5B9E"/>
          <w:sz w:val="26"/>
        </w:rPr>
        <w:t>Advisor B — The Contrarian (assume a fatal flaw)</w:t>
      </w:r>
    </w:p>
    <w:p>
      <w:r>
        <w:t xml:space="preserve">The fatal flaw is that </w:t>
      </w:r>
      <w:r>
        <w:rPr>
          <w:b/>
        </w:rPr>
        <w:t>the BRD claims compliance it has not designed, and the claim will fail the first audit.</w:t>
      </w:r>
    </w:p>
    <w:p>
      <w:r>
        <w:t xml:space="preserve">Start with Aadhaar. "Verhoeff validation + tokenised" is not Aadhaar compliance. The </w:t>
      </w:r>
      <w:r>
        <w:rPr>
          <w:b/>
        </w:rPr>
        <w:t>Aadhaar Act 2016 and UIDAI's Aadhaar Data Vault circular</w:t>
      </w:r>
      <w:r>
        <w:t xml:space="preserve"> require that the Aadhaar number be stored only in a separate, hardened </w:t>
      </w:r>
      <w:r>
        <w:rPr>
          <w:b/>
        </w:rPr>
        <w:t>Aadhaar Data Vault keyed by a Reference Key</w:t>
      </w:r>
      <w:r>
        <w:t xml:space="preserve">, that storage be lawful (registered AUA/KUA or explicit statutory basis), and that biometric authentication be tightly restricted. The BRD stores Aadhaar in </w:t>
      </w:r>
      <w:r>
        <w:rPr>
          <w:b/>
        </w:rPr>
        <w:t>two</w:t>
      </w:r>
      <w:r>
        <w:t xml:space="preserve"> places (</w:t>
      </w:r>
      <w:r>
        <w:rPr>
          <w:rFonts w:ascii="Consolas" w:hAnsi="Consolas"/>
          <w:sz w:val="20"/>
        </w:rPr>
        <w:t>employees.national_id</w:t>
      </w:r>
      <w:r>
        <w:t xml:space="preserve"> *and* </w:t>
      </w:r>
      <w:r>
        <w:rPr>
          <w:rFonts w:ascii="Consolas" w:hAnsi="Consolas"/>
          <w:sz w:val="20"/>
        </w:rPr>
        <w:t>employee_identity_documents</w:t>
      </w:r>
      <w:r>
        <w:t xml:space="preserve"> of type AADHAAR), neither described as a vault, and pairs it with face photos and a </w:t>
      </w:r>
      <w:r>
        <w:rPr>
          <w:rFonts w:ascii="Consolas" w:hAnsi="Consolas"/>
          <w:sz w:val="20"/>
        </w:rPr>
        <w:t>biometric_template_ref</w:t>
      </w:r>
      <w:r>
        <w:t xml:space="preserve"> for "attendance recognition." That is exactly the high-risk processing UIDAI and the DPDP rules single out. DPDP does </w:t>
      </w:r>
      <w:r>
        <w:rPr>
          <w:b/>
        </w:rPr>
        <w:t>not</w:t>
      </w:r>
      <w:r>
        <w:t xml:space="preserve"> override the Aadhaar Act; asserting "DPDP-aligned" does nothing for Aadhaar.</w:t>
      </w:r>
    </w:p>
    <w:p>
      <w:r>
        <w:t xml:space="preserve">DPDP itself is asserted, not built. There is </w:t>
      </w:r>
      <w:r>
        <w:rPr>
          <w:b/>
        </w:rPr>
        <w:t>no consent/notice ledger, no Consent Manager hook, no Data Protection Officer role, no grievance/redress workflow, no breach-notification workflow to the Data Protection Board, and no reconciliation of the right-to-erasure against statutory retention.</w:t>
      </w:r>
      <w:r>
        <w:t xml:space="preserve"> Export (FR-016) is one of seven data-principal rights; the other six are absent. Enterprise bodies have *some* exemption under DPDP §17, but as an </w:t>
      </w:r>
      <w:r>
        <w:rPr>
          <w:b/>
        </w:rPr>
        <w:t>employer</w:t>
      </w:r>
      <w:r>
        <w:t xml:space="preserve"> processing employee data the exemption is narrow and untested — designing as if exempt is the risk.</w:t>
      </w:r>
    </w:p>
    <w:p>
      <w:r>
        <w:t xml:space="preserve">Second-order failure: </w:t>
      </w:r>
      <w:r>
        <w:rPr>
          <w:b/>
        </w:rPr>
        <w:t>break-glass is a data-exfiltration channel with a checkbox.</w:t>
      </w:r>
      <w:r>
        <w:t xml:space="preserve"> Reveal is "logged with reason" but there is no rate limit, no volume anomaly detection, no second-person approval, and the digest goes to a privacy officer *after the fact*. A single HR Admin can reveal 50,000 Aadhaar/bank numbers in an afternoon with the canned reason "payroll exception." The audit will show it neatly — after the breach.</w:t>
      </w:r>
    </w:p>
    <w:p>
      <w:r>
        <w:t xml:space="preserve">Third: the </w:t>
      </w:r>
      <w:r>
        <w:rPr>
          <w:b/>
        </w:rPr>
        <w:t>completeness `BLOCKED` → payroll exclusion</w:t>
      </w:r>
      <w:r>
        <w:t xml:space="preserve"> rule (FR-014 BR) is a legal landmine. Denying or delaying a employee's salary because a photo or an unverified field is missing is challengeable as unlawful withholding of wages; courts and tribunals will not accept "the data-quality flag told payroll to skip you."</w:t>
      </w:r>
    </w:p>
    <w:p>
      <w:r>
        <w:t xml:space="preserve">The risk the author most likely missed: </w:t>
      </w:r>
      <w:r>
        <w:rPr>
          <w:b/>
        </w:rPr>
        <w:t>merge re-points foreign keys across other modules' tables</w:t>
      </w:r>
      <w:r>
        <w:t xml:space="preserve"> (FR-015 Data Operations: "bulk UPDATE FKs across satellites *and dependent modules' references*"). M01 reaching into M10/M11/M12 schemas to repoint employee_id destroys the bounded-context boundary the entire document is built on — and the "undo after downstream consumption" edge case proves the author already senses it's broken.</w:t>
      </w:r>
    </w:p>
    <w:p>
      <w:pPr>
        <w:pStyle w:val="Heading3"/>
      </w:pPr>
      <w:r>
        <w:rPr>
          <w:b/>
          <w:color w:val="2E5B9E"/>
          <w:sz w:val="26"/>
        </w:rPr>
        <w:t>Advisor C — The First Principles Thinker</w:t>
      </w:r>
    </w:p>
    <w:p>
      <w:r>
        <w:t>Strip it to the question the system actually answers: *"Who is this person, what post do they hold today, and what did they hold on any given date — defensibly?"* Judged against that, two framing assumptions are doing silent work and one is wrong.</w:t>
      </w:r>
    </w:p>
    <w:p>
      <w:r>
        <w:rPr>
          <w:b/>
        </w:rPr>
        <w:t>Right framing:</w:t>
      </w:r>
      <w:r>
        <w:t xml:space="preserve"> modelling </w:t>
      </w:r>
      <w:r>
        <w:rPr>
          <w:b/>
        </w:rPr>
        <w:t>post ≠ person</w:t>
      </w:r>
      <w:r>
        <w:t xml:space="preserve"> (positions vs assignments) and </w:t>
      </w:r>
      <w:r>
        <w:rPr>
          <w:b/>
        </w:rPr>
        <w:t>state-as-of-time</w:t>
      </w:r>
      <w:r>
        <w:t xml:space="preserve"> (effective dating) are the correct primitives. Everything good in the BRD falls out of those two choices. Keep them.</w:t>
      </w:r>
    </w:p>
    <w:p>
      <w:r>
        <w:rPr>
          <w:b/>
        </w:rPr>
        <w:t>Wrong framing — the asymmetry of history.</w:t>
      </w:r>
      <w:r>
        <w:t xml:space="preserve"> The BRD effective-dates *job/org/address* but </w:t>
      </w:r>
      <w:r>
        <w:rPr>
          <w:b/>
        </w:rPr>
        <w:t>overwrites person attributes</w:t>
      </w:r>
      <w:r>
        <w:t xml:space="preserve">: 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gender</w:t>
      </w:r>
      <w:r>
        <w:t xml:space="preserve">, </w:t>
      </w:r>
      <w:r>
        <w:rPr>
          <w:rFonts w:ascii="Consolas" w:hAnsi="Consolas"/>
          <w:sz w:val="20"/>
        </w:rPr>
        <w:t>marital_status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 (SC/ST/OBC/EWS), </w:t>
      </w:r>
      <w:r>
        <w:rPr>
          <w:rFonts w:ascii="Consolas" w:hAnsi="Consolas"/>
          <w:sz w:val="20"/>
        </w:rPr>
        <w:t>disability</w:t>
      </w:r>
      <w:r>
        <w:t xml:space="preserve">, </w:t>
      </w:r>
      <w:r>
        <w:rPr>
          <w:rFonts w:ascii="Consolas" w:hAnsi="Consolas"/>
          <w:sz w:val="20"/>
        </w:rPr>
        <w:t>religion</w:t>
      </w:r>
      <w:r>
        <w:t xml:space="preserve"> live as mutable columns on </w:t>
      </w:r>
      <w:r>
        <w:rPr>
          <w:rFonts w:ascii="Consolas" w:hAnsi="Consolas"/>
          <w:sz w:val="20"/>
        </w:rPr>
        <w:t>employees</w:t>
      </w:r>
      <w:r>
        <w:t xml:space="preserve"> with no version history. This is incoherent with the document's own thesis. In a public-sector context these are the *most* consequential historical facts: a </w:t>
      </w:r>
      <w:r>
        <w:rPr>
          <w:b/>
        </w:rPr>
        <w:t>category</w:t>
      </w:r>
      <w:r>
        <w:t xml:space="preserve"> at recruitment fixes a reservation-roster point for a career; a </w:t>
      </w:r>
      <w:r>
        <w:rPr>
          <w:b/>
        </w:rPr>
        <w:t>DOB</w:t>
      </w:r>
      <w:r>
        <w:t xml:space="preserve"> governs the retirement date and is the single most litigated field in Indian enterprise service; a </w:t>
      </w:r>
      <w:r>
        <w:rPr>
          <w:b/>
        </w:rPr>
        <w:t>name change</w:t>
      </w:r>
      <w:r>
        <w:t xml:space="preserve"> (marriage, or the Transgender Persons Act 2019 right) must be tied to a gazette notification and an effective date. If a position assignment deserves a tamper-evident timeline, a category or DOB change deserves one far more. The hidden assumption — "personal attributes don't change, or their history doesn't matter" — is simply false for this domain.</w:t>
      </w:r>
    </w:p>
    <w:p>
      <w:r>
        <w:rPr>
          <w:b/>
        </w:rPr>
        <w:t>Simpler approach available, and the BRD over-builds elsewhere.</w:t>
      </w:r>
      <w:r>
        <w:t xml:space="preserve"> The general principle should be *one* effective-dated-attribute mechanism, not three (job assignments are versioned, addresses are versioned-by-hand with valid_from/to, custom fields are not versioned at all, core attributes not at all). A single </w:t>
      </w:r>
      <w:r>
        <w:rPr>
          <w:rFonts w:ascii="Consolas" w:hAnsi="Consolas"/>
          <w:sz w:val="20"/>
        </w:rPr>
        <w:t>employee_attribute_history</w:t>
      </w:r>
      <w:r>
        <w:t xml:space="preserve"> spine (attribute_path, value, effective_from/to, change_reason, source, gazette_ref) would unify it and *replace* some of the bespoke machinery. Conversely, the </w:t>
      </w:r>
      <w:r>
        <w:rPr>
          <w:b/>
        </w:rPr>
        <w:t>custom-fields + dynamic-form + per-field-policy-matrix</w:t>
      </w:r>
      <w:r>
        <w:t xml:space="preserve"> engine is a lot of build for v1 of a enterprise rollout where the field set is statutorily fixed; that configurability is speculative until a second tenant exists.</w:t>
      </w:r>
    </w:p>
    <w:p>
      <w:r>
        <w:rPr>
          <w:b/>
        </w:rPr>
        <w:t>The assumption that should be challenged out loud:</w:t>
      </w:r>
      <w:r>
        <w:t xml:space="preserve"> that </w:t>
      </w:r>
      <w:r>
        <w:rPr>
          <w:b/>
        </w:rPr>
        <w:t>completeness/quality can gate downstream operations.</w:t>
      </w:r>
      <w:r>
        <w:t xml:space="preserve"> A measurement (score) should never become a control (block payroll). Conflating the two couples data hygiene to the disbursement of wages — a category error. Score and nudge; never block pay.</w:t>
      </w:r>
    </w:p>
    <w:p>
      <w:pPr>
        <w:pStyle w:val="Heading3"/>
      </w:pPr>
      <w:r>
        <w:rPr>
          <w:b/>
          <w:color w:val="2E5B9E"/>
          <w:sz w:val="26"/>
        </w:rPr>
        <w:t>Advisor D — The Outsider (zero domain context)</w:t>
      </w:r>
    </w:p>
    <w:p>
      <w:r>
        <w:t>I don't work in HR, so I'm flagging everything I had to guess at — because if I have to guess, so will an implementing agent.</w:t>
      </w:r>
    </w:p>
    <w:p>
      <w:pPr>
        <w:pStyle w:val="ListBullet"/>
      </w:pPr>
      <w:r>
        <w:rPr>
          <w:b/>
        </w:rPr>
        <w:t>Acronym wall, no anchor.</w:t>
      </w:r>
      <w:r>
        <w:t xml:space="preserve"> PAN, Aadhaar, IFSC, PRAN, UIDAI, GPF/CPF/NPS, APAR, cadre, "officiating," "substantive," "lien," "creamy layer," "4-eyes," "break-glass," "Verhoeff." The glossary covers a third of these. Several (PRAN, cadre, officiating, additional-charge) appear in enums and rules with no definition. An agent will mis-implement what it can't define.</w:t>
      </w:r>
    </w:p>
    <w:p>
      <w:pPr>
        <w:pStyle w:val="ListBullet"/>
      </w:pPr>
      <w:r>
        <w:rPr>
          <w:b/>
        </w:rPr>
        <w:t>The number doesn't add up on its face.</w:t>
      </w:r>
      <w:r>
        <w:t xml:space="preserve"> §5.1 says "M01-owned entities (18)" then lists E1–E20 and a footnote says "20 tables across 18 conceptual entities (E20 is a pair)." I counted; the reconciliation between 18, 19, and 20 took me three reads. If the author needs a footnote to explain the count, simplify the count.</w:t>
      </w:r>
    </w:p>
    <w:p>
      <w:pPr>
        <w:pStyle w:val="ListBullet"/>
      </w:pPr>
      <w:r>
        <w:rPr>
          <w:b/>
        </w:rPr>
        <w:t>A cross-reference is wrong.</w:t>
      </w:r>
      <w:r>
        <w:t xml:space="preserve"> §3 and §4.3 say field-level access is </w:t>
      </w:r>
      <w:r>
        <w:rPr>
          <w:b/>
        </w:rPr>
        <w:t>FR-EPM-012</w:t>
      </w:r>
      <w:r>
        <w:t xml:space="preserve">. The actual field-access FR is </w:t>
      </w:r>
      <w:r>
        <w:rPr>
          <w:b/>
        </w:rPr>
        <w:t>FR-EPM-013</w:t>
      </w:r>
      <w:r>
        <w:t>; FR-012 is custom fields. I only caught it because I read linearly. An agent wiring "the policy in FR-012" will wire the wrong thing.</w:t>
      </w:r>
    </w:p>
    <w:p>
      <w:pPr>
        <w:pStyle w:val="ListBullet"/>
      </w:pPr>
      <w:r>
        <w:rPr>
          <w:b/>
        </w:rPr>
        <w:t>"800 ms to assemble 20 tables, apply a policy per field, mask, and write an audit row" — for every view, at 500,000 employees.</w:t>
      </w:r>
      <w:r>
        <w:t xml:space="preserve"> Nobody told me how. "Read-optimised" and "parallel section fetch" are adjectives, not a design. Where is the read model?</w:t>
      </w:r>
    </w:p>
    <w:p>
      <w:pPr>
        <w:pStyle w:val="ListBullet"/>
      </w:pPr>
      <w:r>
        <w:rPr>
          <w:b/>
        </w:rPr>
        <w:t>Two homes for one secret.</w:t>
      </w:r>
      <w:r>
        <w:t xml:space="preserve"> Aadhaar appears as </w:t>
      </w:r>
      <w:r>
        <w:rPr>
          <w:rFonts w:ascii="Consolas" w:hAnsi="Consolas"/>
          <w:sz w:val="20"/>
        </w:rPr>
        <w:t>employees.national_id</w:t>
      </w:r>
      <w:r>
        <w:t xml:space="preserve"> *and* as an </w:t>
      </w:r>
      <w:r>
        <w:rPr>
          <w:rFonts w:ascii="Consolas" w:hAnsi="Consolas"/>
          <w:sz w:val="20"/>
        </w:rPr>
        <w:t>employee_identity_documents</w:t>
      </w:r>
      <w:r>
        <w:t xml:space="preserve"> row. Which is the truth? If I update one, does the other change? Unspecified.</w:t>
      </w:r>
    </w:p>
    <w:p>
      <w:pPr>
        <w:pStyle w:val="ListBullet"/>
      </w:pPr>
      <w:r>
        <w:rPr>
          <w:b/>
        </w:rPr>
        <w:t>A name must have a last name (`last_name NOT NULL`).</w:t>
      </w:r>
      <w:r>
        <w:t xml:space="preserve"> I was told to design for a global organisation, but I've seen Indian records with a single name and no surname. A NOT NULL surname will reject real people on day one. Is that intended?</w:t>
      </w:r>
    </w:p>
    <w:p>
      <w:pPr>
        <w:pStyle w:val="ListBullet"/>
      </w:pPr>
      <w:r>
        <w:rPr>
          <w:b/>
        </w:rPr>
        <w:t>"It blocks payroll" is stated like a feature.</w:t>
      </w:r>
      <w:r>
        <w:t xml:space="preserve"> From the outside, a system that can silently stop someone's salary because a checkbox is unticked sounds less like a feature and more like a complaint waiting to happen.</w:t>
      </w:r>
    </w:p>
    <w:p>
      <w:pPr>
        <w:pStyle w:val="ListBullet"/>
      </w:pPr>
      <w:r>
        <w:rPr>
          <w:b/>
        </w:rPr>
        <w:t>Everything is "✅ Resolved, 0 unresolved gaps."</w:t>
      </w:r>
      <w:r>
        <w:t xml:space="preserve"> A 2,500-line spec with zero open issues reads as *under-reviewed*, not *complete*. The one honest section (Appendix E, four assumptions) is the most credible page in the document.</w:t>
      </w:r>
    </w:p>
    <w:p>
      <w:pPr>
        <w:pStyle w:val="Heading3"/>
      </w:pPr>
      <w:r>
        <w:rPr>
          <w:b/>
          <w:color w:val="2E5B9E"/>
          <w:sz w:val="26"/>
        </w:rPr>
        <w:t>Advisor E — The Executor (what do we build Monday?)</w:t>
      </w:r>
    </w:p>
    <w:p>
      <w:r>
        <w:t xml:space="preserve">The dependency map is sound: </w:t>
      </w:r>
      <w:r>
        <w:rPr>
          <w:b/>
        </w:rPr>
        <w:t>FR-019 (consumption API) + FR-013 (field access) + FR-001 (create)</w:t>
      </w:r>
      <w:r>
        <w:t xml:space="preserve"> first, contracts frozen before parallel tracks. I'd ship exactly that as Sprint 1. But several "✅ Resolved" items will detonate in build and migration.</w:t>
      </w:r>
    </w:p>
    <w:p>
      <w:r>
        <w:rPr>
          <w:b/>
        </w:rPr>
        <w:t>Migration is mis-scoped and the targets are fiction.</w:t>
      </w:r>
      <w:r>
        <w:t xml:space="preserve"> Public-sector legacy data is paper service books, three spellings per person, missing DOB/DOJ, no Aadhaar/PAN for staff who joined in the 1990s. Your schema has </w:t>
      </w:r>
      <w:r>
        <w:rPr>
          <w:b/>
        </w:rPr>
        <w:t>hard NOT NULL on `dob`, `gender`, `last_name`, `date_of_joining`</w:t>
      </w:r>
      <w:r>
        <w:t xml:space="preserve"> and a CHECK that DOB makes the person ≥18 at joining. Real legacy rows </w:t>
      </w:r>
      <w:r>
        <w:rPr>
          <w:b/>
        </w:rPr>
        <w:t>will not satisfy these</w:t>
      </w:r>
      <w:r>
        <w:t xml:space="preserve">, so the importer's binary VALID/ERROR model converts most of your population to ERROR on pass one — and "≥99.5% VALID on first or second pass" is unreachable. You need a third state: </w:t>
      </w:r>
      <w:r>
        <w:rPr>
          <w:b/>
        </w:rPr>
        <w:t>PROVISIONAL/QUARANTINE</w:t>
      </w:r>
      <w:r>
        <w:t xml:space="preserve"> — committed under a relaxed migration profile, DQ-flagged, login-disabled, with a manual remediation queue — or migration stalls for months. Decide this Monday; it changes the schema (nullable-during-migration) and the importer.</w:t>
      </w:r>
    </w:p>
    <w:p>
      <w:r>
        <w:rPr>
          <w:b/>
        </w:rPr>
        <w:t>The merge cannot repoint other modules' rows.</w:t>
      </w:r>
      <w:r>
        <w:t xml:space="preserve"> As written, </w:t>
      </w:r>
      <w:r>
        <w:rPr>
          <w:rFonts w:ascii="Consolas" w:hAnsi="Consolas"/>
          <w:sz w:val="20"/>
        </w:rPr>
        <w:t>MergeService</w:t>
      </w:r>
      <w:r>
        <w:t xml:space="preserve"> does "bulk UPDATE FKs across … dependent modules' references." M01 does not own M10/M11/M12 tables and must not write them. The buildable design is: M01 merges *its own* satellites, soft-deletes the loser, emits </w:t>
      </w:r>
      <w:r>
        <w:rPr>
          <w:b/>
        </w:rPr>
        <w:t>`RECORDS_MERGED` with `{survivor_id, loser_id}` on the change feed</w:t>
      </w:r>
      <w:r>
        <w:t xml:space="preserve">, and </w:t>
      </w:r>
      <w:r>
        <w:rPr>
          <w:b/>
        </w:rPr>
        <w:t>every consumer re-points itself</w:t>
      </w:r>
      <w:r>
        <w:t xml:space="preserve"> (or all modules read </w:t>
      </w:r>
      <w:r>
        <w:rPr>
          <w:rFonts w:ascii="Consolas" w:hAnsi="Consolas"/>
          <w:sz w:val="20"/>
        </w:rPr>
        <w:t>employee_id</w:t>
      </w:r>
      <w:r>
        <w:t xml:space="preserve"> through an identity-alias table M01 owns: </w:t>
      </w:r>
      <w:r>
        <w:rPr>
          <w:rFonts w:ascii="Consolas" w:hAnsi="Consolas"/>
          <w:sz w:val="20"/>
        </w:rPr>
        <w:t>employee_id_aliases(loser_id → survivor_id)</w:t>
      </w:r>
      <w:r>
        <w:t>). The alias table also fixes "undo after downstream consumption." Pick the alias approach; it's less coordination.</w:t>
      </w:r>
    </w:p>
    <w:p>
      <w:r>
        <w:rPr>
          <w:b/>
        </w:rPr>
        <w:t>The denormalisation trigger is a footgun.</w:t>
      </w:r>
      <w:r>
        <w:t xml:space="preserve"> Keeping </w:t>
      </w:r>
      <w:r>
        <w:rPr>
          <w:rFonts w:ascii="Consolas" w:hAnsi="Consolas"/>
          <w:sz w:val="20"/>
        </w:rPr>
        <w:t>employees.designation_id/org_unit_id/reporting_manager_id</w:t>
      </w:r>
      <w:r>
        <w:t xml:space="preserve"> in sync with the current assignment via a DB trigger, *while* back-dated corrections rewrite history *and* an outbox fires, is three stateful mechanisms fighting over one row. Do the sync in the service layer inside the same transaction, explicitly, and test it; don't bury it in a trigger.</w:t>
      </w:r>
    </w:p>
    <w:p>
      <w:r>
        <w:rPr>
          <w:b/>
        </w:rPr>
        <w:t>Concurrency is asserted, not specified.</w:t>
      </w:r>
      <w:r>
        <w:t xml:space="preserve"> FR-003/008/009 say "version check" / "last-writer" and the API shows an </w:t>
      </w:r>
      <w:r>
        <w:rPr>
          <w:rFonts w:ascii="Consolas" w:hAnsi="Consolas"/>
          <w:sz w:val="20"/>
        </w:rPr>
        <w:t>etag</w:t>
      </w:r>
      <w:r>
        <w:t xml:space="preserve">, but </w:t>
      </w:r>
      <w:r>
        <w:rPr>
          <w:b/>
        </w:rPr>
        <w:t>no entity has a `row_version` column</w:t>
      </w:r>
      <w:r>
        <w:t xml:space="preserve">. Add </w:t>
      </w:r>
      <w:r>
        <w:rPr>
          <w:rFonts w:ascii="Consolas" w:hAnsi="Consolas"/>
          <w:sz w:val="20"/>
        </w:rPr>
        <w:t>row_version INT</w:t>
      </w:r>
      <w:r>
        <w:t xml:space="preserve"> (or </w:t>
      </w:r>
      <w:r>
        <w:rPr>
          <w:rFonts w:ascii="Consolas" w:hAnsi="Consolas"/>
          <w:sz w:val="20"/>
        </w:rPr>
        <w:t>xmin</w:t>
      </w:r>
      <w:r>
        <w:t xml:space="preserve">) to every mutable table and define </w:t>
      </w:r>
      <w:r>
        <w:rPr>
          <w:rFonts w:ascii="Consolas" w:hAnsi="Consolas"/>
          <w:sz w:val="20"/>
        </w:rPr>
        <w:t>409 CONFLICT</w:t>
      </w:r>
      <w:r>
        <w:t xml:space="preserve"> on mismatch, or the 4-eyes and primary-demotion flows race.</w:t>
      </w:r>
    </w:p>
    <w:p>
      <w:r>
        <w:rPr>
          <w:b/>
        </w:rPr>
        <w:t>Audit-on-read will blow the P95.</w:t>
      </w:r>
      <w:r>
        <w:t xml:space="preserve"> "Every restricted read writes audit_log" inside a path with a 500 ms P95 and 14 machine consumers hammering the consumption API means synchronous inserts on the hot path. Move audit to an async sink (queue/outbox), or the SLO and the audit requirement are mutually exclusive.</w:t>
      </w:r>
    </w:p>
    <w:p>
      <w:r>
        <w:t xml:space="preserve">Sequencing reality: </w:t>
      </w:r>
      <w:r>
        <w:rPr>
          <w:b/>
        </w:rPr>
        <w:t>positions need effective dating before the 7th-CPC-style mass pay-scale revision</w:t>
      </w:r>
      <w:r>
        <w:t xml:space="preserve"> ever runs — retrofitting history onto </w:t>
      </w:r>
      <w:r>
        <w:rPr>
          <w:rFonts w:ascii="Consolas" w:hAnsi="Consolas"/>
          <w:sz w:val="20"/>
        </w:rPr>
        <w:t>positions</w:t>
      </w:r>
      <w:r>
        <w:t xml:space="preserve"> after go-live is brutal. Build it in now.</w:t>
      </w:r>
    </w:p>
    <w:p>
      <w:pPr>
        <w:pStyle w:val="Heading2"/>
      </w:pPr>
      <w:r>
        <w:rPr>
          <w:b/>
          <w:color w:val="1F3864"/>
          <w:sz w:val="30"/>
        </w:rPr>
        <w:t>Anonymous Peer Review</w:t>
      </w:r>
    </w:p>
    <w:p>
      <w:r>
        <w:t xml:space="preserve">Responses are labelled </w:t>
      </w:r>
      <w:r>
        <w:rPr>
          <w:b/>
        </w:rPr>
        <w:t>A</w:t>
      </w:r>
      <w:r>
        <w:t xml:space="preserve"> (Proponent), </w:t>
      </w:r>
      <w:r>
        <w:rPr>
          <w:b/>
        </w:rPr>
        <w:t>B</w:t>
      </w:r>
      <w:r>
        <w:t xml:space="preserve"> (Contrarian), </w:t>
      </w:r>
      <w:r>
        <w:rPr>
          <w:b/>
        </w:rPr>
        <w:t>C</w:t>
      </w:r>
      <w:r>
        <w:t xml:space="preserve"> (First Principles), </w:t>
      </w:r>
      <w:r>
        <w:rPr>
          <w:b/>
        </w:rPr>
        <w:t>D</w:t>
      </w:r>
      <w:r>
        <w:t xml:space="preserve"> (Outsider), </w:t>
      </w:r>
      <w:r>
        <w:rPr>
          <w:b/>
        </w:rPr>
        <w:t>E</w:t>
      </w:r>
      <w:r>
        <w:t xml:space="preserve"> (Executor).</w:t>
      </w:r>
    </w:p>
    <w:p>
      <w:r>
        <w:rPr>
          <w:b/>
        </w:rPr>
        <w:t>Reviewer 1 reviewing for strongest / blind spot / shared miss</w:t>
      </w:r>
    </w:p>
    <w:p>
      <w:pPr>
        <w:pStyle w:val="ListBullet"/>
      </w:pPr>
      <w:r>
        <w:rPr>
          <w:b/>
        </w:rPr>
        <w:t>Strongest:</w:t>
      </w:r>
      <w:r>
        <w:t xml:space="preserve"> </w:t>
      </w:r>
      <w:r>
        <w:rPr>
          <w:b/>
        </w:rPr>
        <w:t>B.</w:t>
      </w:r>
      <w:r>
        <w:t xml:space="preserve"> The Aadhaar-Act-vs-DPDP distinction and the two-homes-for-Aadhaar catch are specific, correct, and legally load-bearing — not generic privacy hand-wringing.</w:t>
      </w:r>
    </w:p>
    <w:p>
      <w:pPr>
        <w:pStyle w:val="ListBullet"/>
      </w:pPr>
      <w:r>
        <w:rPr>
          <w:b/>
        </w:rPr>
        <w:t>Biggest blind spot:</w:t>
      </w:r>
      <w:r>
        <w:t xml:space="preserve"> B treats *everything* as fatal; by crying "fatal flaw" on five different things it dilutes the one that's genuinely architectural (cross-module merge). Severity triage is missing.</w:t>
      </w:r>
    </w:p>
    <w:p>
      <w:pPr>
        <w:pStyle w:val="ListBullet"/>
      </w:pPr>
      <w:r>
        <w:rPr>
          <w:b/>
        </w:rPr>
        <w:t>What ALL FIVE missed:</w:t>
      </w:r>
      <w:r>
        <w:t xml:space="preserve"> the </w:t>
      </w:r>
      <w:r>
        <w:rPr>
          <w:b/>
        </w:rPr>
        <w:t>deceased-employee → family-pension identity</w:t>
      </w:r>
      <w:r>
        <w:t xml:space="preserve"> problem. On DECEASED, data-subject rights and benefit entitlement pass to legal heirs/nominees, and a *new* family-pensioner record often must be created and linked. No advisor named it; the BRD only "locks self-service."</w:t>
      </w:r>
    </w:p>
    <w:p>
      <w:r>
        <w:rPr>
          <w:b/>
        </w:rPr>
        <w:t>Reviewer 2</w:t>
      </w:r>
    </w:p>
    <w:p>
      <w:pPr>
        <w:pStyle w:val="ListBullet"/>
      </w:pPr>
      <w:r>
        <w:rPr>
          <w:b/>
        </w:rPr>
        <w:t>Strongest:</w:t>
      </w:r>
      <w:r>
        <w:t xml:space="preserve"> </w:t>
      </w:r>
      <w:r>
        <w:rPr>
          <w:b/>
        </w:rPr>
        <w:t>C.</w:t>
      </w:r>
      <w:r>
        <w:t xml:space="preserve"> The "history asymmetry" insight (job effective-dated, person overwritten) reframes the whole data model and is the highest-leverage single correction.</w:t>
      </w:r>
    </w:p>
    <w:p>
      <w:pPr>
        <w:pStyle w:val="ListBullet"/>
      </w:pPr>
      <w:r>
        <w:rPr>
          <w:b/>
        </w:rPr>
        <w:t>Biggest blind spot:</w:t>
      </w:r>
      <w:r>
        <w:t xml:space="preserve"> C proposes collapsing to one attribute-history spine but doesn't acknowledge the migration/performance cost of unifying three mechanisms mid-stream — easy to say, expensive to retrofit.</w:t>
      </w:r>
    </w:p>
    <w:p>
      <w:pPr>
        <w:pStyle w:val="ListBullet"/>
      </w:pPr>
      <w:r>
        <w:rPr>
          <w:b/>
        </w:rPr>
        <w:t>What ALL FIVE missed:</w:t>
      </w:r>
      <w:r>
        <w:t xml:space="preserve"> </w:t>
      </w:r>
      <w:r>
        <w:rPr>
          <w:b/>
        </w:rPr>
        <w:t>optimistic-vs-statutory locking of DOB and category as one-time, governed, evidence-bound changes.</w:t>
      </w:r>
      <w:r>
        <w:t xml:space="preserve"> Everyone says "version them"; nobody specifies the *governed change process* (single permissible alteration, time window, documentary proof, approving authority) that Indian service rules mandate.</w:t>
      </w:r>
    </w:p>
    <w:p>
      <w:r>
        <w:rPr>
          <w:b/>
        </w:rPr>
        <w:t>Reviewer 3</w:t>
      </w:r>
    </w:p>
    <w:p>
      <w:pPr>
        <w:pStyle w:val="ListBullet"/>
      </w:pPr>
      <w:r>
        <w:rPr>
          <w:b/>
        </w:rPr>
        <w:t>Strongest:</w:t>
      </w:r>
      <w:r>
        <w:t xml:space="preserve"> </w:t>
      </w:r>
      <w:r>
        <w:rPr>
          <w:b/>
        </w:rPr>
        <w:t>E.</w:t>
      </w:r>
      <w:r>
        <w:t xml:space="preserve"> It is the only response that turns critique into Monday-buildable decisions (alias table, PROVISIONAL state, row_version, async audit) and catches the positions-effective-dating sequencing trap.</w:t>
      </w:r>
    </w:p>
    <w:p>
      <w:pPr>
        <w:pStyle w:val="ListBullet"/>
      </w:pPr>
      <w:r>
        <w:rPr>
          <w:b/>
        </w:rPr>
        <w:t>Biggest blind spot:</w:t>
      </w:r>
      <w:r>
        <w:t xml:space="preserve"> E is implementation-deep but accepts the feature scope as given — it never asks whether the custom-field engine or completeness-blocking should exist at all (C and the Outsider did).</w:t>
      </w:r>
    </w:p>
    <w:p>
      <w:pPr>
        <w:pStyle w:val="ListBullet"/>
      </w:pPr>
      <w:r>
        <w:rPr>
          <w:b/>
        </w:rPr>
        <w:t>What ALL FIVE missed:</w:t>
      </w:r>
      <w:r>
        <w:t xml:space="preserve"> </w:t>
      </w:r>
      <w:r>
        <w:rPr>
          <w:b/>
        </w:rPr>
        <w:t>the change-feed event backbone is undefined</w:t>
      </w:r>
      <w:r>
        <w:t xml:space="preserve"> (Kafka? DB-polled outbox? retention? replay window? dead-letter?). With 14 consumers and tombstones, this is an architecture decision masquerading as a </w:t>
      </w:r>
      <w:r>
        <w:rPr>
          <w:rFonts w:ascii="Consolas" w:hAnsi="Consolas"/>
          <w:sz w:val="20"/>
        </w:rPr>
        <w:t>GET</w:t>
      </w:r>
      <w:r>
        <w:t xml:space="preserve"> endpoint.</w:t>
      </w:r>
    </w:p>
    <w:p>
      <w:r>
        <w:rPr>
          <w:b/>
        </w:rPr>
        <w:t>Reviewer 4</w:t>
      </w:r>
    </w:p>
    <w:p>
      <w:pPr>
        <w:pStyle w:val="ListBullet"/>
      </w:pPr>
      <w:r>
        <w:rPr>
          <w:b/>
        </w:rPr>
        <w:t>Strongest:</w:t>
      </w:r>
      <w:r>
        <w:t xml:space="preserve"> </w:t>
      </w:r>
      <w:r>
        <w:rPr>
          <w:b/>
        </w:rPr>
        <w:t>D.</w:t>
      </w:r>
      <w:r>
        <w:t xml:space="preserve"> The Outsider produced the most *actionable* defects despite zero domain context: the wrong FR cross-reference (012 vs 013), the mononym/</w:t>
      </w:r>
      <w:r>
        <w:rPr>
          <w:rFonts w:ascii="Consolas" w:hAnsi="Consolas"/>
          <w:sz w:val="20"/>
        </w:rPr>
        <w:t>last_name NOT NULL</w:t>
      </w:r>
      <w:r>
        <w:t xml:space="preserve"> rejection, and the "0 unresolved gaps = under-reviewed" smell are all real and cheap to fix.</w:t>
      </w:r>
    </w:p>
    <w:p>
      <w:pPr>
        <w:pStyle w:val="ListBullet"/>
      </w:pPr>
      <w:r>
        <w:rPr>
          <w:b/>
        </w:rPr>
        <w:t>Biggest blind spot:</w:t>
      </w:r>
      <w:r>
        <w:t xml:space="preserve"> D, lacking domain context, can't tell gold-plating from necessity — it flags the custom-field engine as "complex" without weighing that an SSOT serving 14 modules has a real case for some configurability.</w:t>
      </w:r>
    </w:p>
    <w:p>
      <w:pPr>
        <w:pStyle w:val="ListBullet"/>
      </w:pPr>
      <w:r>
        <w:rPr>
          <w:b/>
        </w:rPr>
        <w:t>What ALL FIVE missed:</w:t>
      </w:r>
      <w:r>
        <w:t xml:space="preserve"> </w:t>
      </w:r>
      <w:r>
        <w:rPr>
          <w:b/>
        </w:rPr>
        <w:t>transliteration / phonetic search across scripts.</w:t>
      </w:r>
      <w:r>
        <w:t xml:space="preserve"> Global search is "by name/service_no," but </w:t>
      </w:r>
      <w:r>
        <w:rPr>
          <w:rFonts w:ascii="Consolas" w:hAnsi="Consolas"/>
          <w:sz w:val="20"/>
        </w:rPr>
        <w:t>name_local</w:t>
      </w:r>
      <w:r>
        <w:t xml:space="preserve"> exists and Indian names span scripts and spellings; without phonetic/transliterated search the directory and dedup both under-match. No one raised it.</w:t>
      </w:r>
    </w:p>
    <w:p>
      <w:r>
        <w:rPr>
          <w:b/>
        </w:rPr>
        <w:t>Reviewer 5</w:t>
      </w:r>
    </w:p>
    <w:p>
      <w:pPr>
        <w:pStyle w:val="ListBullet"/>
      </w:pPr>
      <w:r>
        <w:rPr>
          <w:b/>
        </w:rPr>
        <w:t>Strongest:</w:t>
      </w:r>
      <w:r>
        <w:t xml:space="preserve"> </w:t>
      </w:r>
      <w:r>
        <w:rPr>
          <w:b/>
        </w:rPr>
        <w:t>A.</w:t>
      </w:r>
      <w:r>
        <w:t xml:space="preserve"> Even as the booster, A correctly identifies the *durable* moats (contract-first SSOT, post≠person, server-side masking) — and a review that can't name what to protect produces a worse v2 than one that can.</w:t>
      </w:r>
    </w:p>
    <w:p>
      <w:pPr>
        <w:pStyle w:val="ListBullet"/>
      </w:pPr>
      <w:r>
        <w:rPr>
          <w:b/>
        </w:rPr>
        <w:t>Biggest blind spot:</w:t>
      </w:r>
      <w:r>
        <w:t xml:space="preserve"> A's optimism skips the legal exposure entirely (Aadhaer Act, wage-withholding) and mistakes "we built an MDM engine" for "we built a *compliant* MDM engine."</w:t>
      </w:r>
    </w:p>
    <w:p>
      <w:pPr>
        <w:pStyle w:val="ListBullet"/>
      </w:pPr>
      <w:r>
        <w:rPr>
          <w:b/>
        </w:rPr>
        <w:t>What ALL FIVE missed:</w:t>
      </w:r>
      <w:r>
        <w:t xml:space="preserve"> </w:t>
      </w:r>
      <w:r>
        <w:rPr>
          <w:b/>
        </w:rPr>
        <w:t>category/EWS/OBC certificate validity and PwD UDID/percentage.</w:t>
      </w:r>
      <w:r>
        <w:t xml:space="preserve"> Category is captured as a static enum, but non-creamy-layer/EWS certificates </w:t>
      </w:r>
      <w:r>
        <w:rPr>
          <w:b/>
        </w:rPr>
        <w:t>expire annually</w:t>
      </w:r>
      <w:r>
        <w:t xml:space="preserve"> and PwD benefits need ≥40% on a UDID card. Everyone debated *history* of category; no one caught that even the *current* value needs a certificate entity with validity and a benefit-percentage.</w:t>
      </w:r>
    </w:p>
    <w:p>
      <w:pPr>
        <w:pStyle w:val="Heading2"/>
      </w:pPr>
      <w:r>
        <w:rPr>
          <w:b/>
          <w:color w:val="1F3864"/>
          <w:sz w:val="30"/>
        </w:rPr>
        <w:t>Second Pass — Focused Resolution of the Fundamental Clash</w:t>
      </w:r>
    </w:p>
    <w:p>
      <w:r>
        <w:t>Two clashes are fundamental (the right answer changes what v2 must do). I resolve both.</w:t>
      </w:r>
    </w:p>
    <w:p>
      <w:pPr>
        <w:pStyle w:val="Heading3"/>
      </w:pPr>
      <w:r>
        <w:rPr>
          <w:b/>
          <w:color w:val="2E5B9E"/>
          <w:sz w:val="26"/>
        </w:rPr>
        <w:t>Clash 1 — Should the data-quality `BLOCKED` flag exclude an employee from payroll? (C/B/D: no; FR-014 as written: yes)</w:t>
      </w:r>
    </w:p>
    <w:p>
      <w:r>
        <w:rPr>
          <w:b/>
        </w:rPr>
        <w:t>Resolution: No — split "block" into two different controls.</w:t>
      </w:r>
      <w:r>
        <w:t xml:space="preserve"> The author conflated *data trust* with *payment authority*. There are two legitimate needs hiding in one flag:</w:t>
      </w:r>
    </w:p>
    <w:p>
      <w:pPr>
        <w:pStyle w:val="ListNumber"/>
      </w:pPr>
      <w:r>
        <w:rPr>
          <w:b/>
        </w:rPr>
        <w:t>Pay cannot be sent where it has nowhere lawful to go.</w:t>
      </w:r>
      <w:r>
        <w:t xml:space="preserve"> A *verified primary salary account* is a genuine precondition for *electronic disbursement* — not because data is "incomplete," but because there is no valid destination. This is a </w:t>
      </w:r>
      <w:r>
        <w:rPr>
          <w:b/>
        </w:rPr>
        <w:t>specific, bank-detail gate owned by payroll (M10)</w:t>
      </w:r>
      <w:r>
        <w:t>, expressed as a typed reason (</w:t>
      </w:r>
      <w:r>
        <w:rPr>
          <w:rFonts w:ascii="Consolas" w:hAnsi="Consolas"/>
          <w:sz w:val="20"/>
        </w:rPr>
        <w:t>NO_VERIFIED_BANK</w:t>
      </w:r>
      <w:r>
        <w:t>), with a manual/cheque fallback so wages are never simply withheld.</w:t>
      </w:r>
    </w:p>
    <w:p>
      <w:pPr>
        <w:pStyle w:val="ListNumber"/>
      </w:pPr>
      <w:r>
        <w:rPr>
          <w:b/>
        </w:rPr>
        <w:t>Everything else (missing photo, unverified education, low completeness %) must never touch pay.</w:t>
      </w:r>
      <w:r>
        <w:t xml:space="preserve"> It generates </w:t>
      </w:r>
      <w:r>
        <w:rPr>
          <w:b/>
        </w:rPr>
        <w:t>nudges and DQ register entries</w:t>
      </w:r>
      <w:r>
        <w:t>, full stop.</w:t>
      </w:r>
    </w:p>
    <w:p>
      <w:r>
        <w:t xml:space="preserve">So v2 replaces "BLOCKED gates payroll" with: completeness/DQ is </w:t>
      </w:r>
      <w:r>
        <w:rPr>
          <w:b/>
        </w:rPr>
        <w:t>advisory only</w:t>
      </w:r>
      <w:r>
        <w:t>; M10 independently enforces its own *disbursement-readiness* checks (verified bank present, no active hold) and always has a non-electronic fallback. This removes the unlawful-withholding exposure (B) and the measurement-as-control category error (C) while preserving the real safeguard.</w:t>
      </w:r>
    </w:p>
    <w:p>
      <w:pPr>
        <w:pStyle w:val="Heading3"/>
      </w:pPr>
      <w:r>
        <w:rPr>
          <w:b/>
          <w:color w:val="2E5B9E"/>
          <w:sz w:val="26"/>
        </w:rPr>
        <w:t>Clash 2 — Build the full configurable/dedup/point-in-time platform in v1, or phase it? (A/E: build the spine now; C/D: some of it is speculative)</w:t>
      </w:r>
    </w:p>
    <w:p>
      <w:r>
        <w:rPr>
          <w:b/>
        </w:rPr>
        <w:t>Resolution: Build the spine, defer the speculative surface — and the dividing line is "does a downstream module or a statute consume it in v1?"</w:t>
      </w:r>
    </w:p>
    <w:p>
      <w:pPr>
        <w:pStyle w:val="ListBullet"/>
      </w:pPr>
      <w:r>
        <w:rPr>
          <w:b/>
        </w:rPr>
        <w:t>Must be v1 (a consumer/statute depends on it):</w:t>
      </w:r>
      <w:r>
        <w:t xml:space="preserve"> consumption API + field access + create + position management </w:t>
      </w:r>
      <w:r>
        <w:rPr>
          <w:b/>
        </w:rPr>
        <w:t>with positions effective-dated</w:t>
      </w:r>
      <w:r>
        <w:t xml:space="preserve"> + effective-dated *core person attributes* + dedup-via-alias-table + separation/lifecycle + migration with a PROVISIONAL state. These are load-bearing for M02–M14 or for compliance.</w:t>
      </w:r>
    </w:p>
    <w:p>
      <w:pPr>
        <w:pStyle w:val="ListBullet"/>
      </w:pPr>
      <w:r>
        <w:rPr>
          <w:b/>
        </w:rPr>
        <w:t>Defer to phase 2 (no v1 consumer):</w:t>
      </w:r>
      <w:r>
        <w:t xml:space="preserve"> the </w:t>
      </w:r>
      <w:r>
        <w:rPr>
          <w:b/>
        </w:rPr>
        <w:t>custom-field + dynamic-form engine</w:t>
      </w:r>
      <w:r>
        <w:t xml:space="preserve"> (statutory field set is fixed at launch; one tenant), the </w:t>
      </w:r>
      <w:r>
        <w:rPr>
          <w:b/>
        </w:rPr>
        <w:t>reversible-merge UI undo</w:t>
      </w:r>
      <w:r>
        <w:t xml:space="preserve"> beyond the alias mechanism, and the </w:t>
      </w:r>
      <w:r>
        <w:rPr>
          <w:b/>
        </w:rPr>
        <w:t>completeness *scoring weights* configurability</w:t>
      </w:r>
      <w:r>
        <w:t xml:space="preserve"> (ship one fixed weighting). C and D are right that these are speculative configurability; A and E are right that the *identity/position/privacy spine* is not negotiable.</w:t>
      </w:r>
    </w:p>
    <w:p>
      <w:r>
        <w:t>This is not a contradiction once you separate "platform spine" (build) from "configurability surface" (defer). v2 should phase explicitly rather than declaring all 19 FRs equally "Resolved."</w:t>
      </w:r>
    </w:p>
    <w:p>
      <w:pPr>
        <w:pStyle w:val="Heading2"/>
      </w:pPr>
      <w:r>
        <w:rPr>
          <w:b/>
          <w:color w:val="1F3864"/>
          <w:sz w:val="30"/>
        </w:rPr>
        <w:t>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Advisor(s)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Aadhaar stored without UIDAI Aadhaar Data Vault / Reference-Key architecture and lawful basis; stored in two places; paired with facial biometric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Single Aadhaar Data Vault keyed by Reference Key; remove </w:t>
            </w:r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duplication; document AUA/KUA or statutory basis; isolate biometric processing with its own purpose/consent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Merge re-points FKs in other modules' tables — bounded-context violation; undo-after-consumption unsolved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M01-owned </w:t>
            </w:r>
            <w:r>
              <w:rPr>
                <w:rFonts w:ascii="Consolas" w:hAnsi="Consolas"/>
                <w:sz w:val="18"/>
              </w:rPr>
              <w:t>employee_id_aliases(loser→survivor)</w:t>
            </w:r>
            <w:r>
              <w:rPr>
                <w:sz w:val="18"/>
              </w:rPr>
              <w:t xml:space="preserve">; merge emits </w:t>
            </w:r>
            <w:r>
              <w:rPr>
                <w:rFonts w:ascii="Consolas" w:hAnsi="Consolas"/>
                <w:sz w:val="18"/>
              </w:rPr>
              <w:t>RECORDS_MERGED</w:t>
            </w:r>
            <w:r>
              <w:rPr>
                <w:sz w:val="18"/>
              </w:rPr>
              <w:t>; consumers resolve via alias; alias makes undo safe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DQ 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flag excludes employee from payroll = unlawful wage-withholding / measurement-as-control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C,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Completeness/DQ advisory only; move disbursement gating to M10 (</w:t>
            </w:r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>) with non-electronic fallback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rights/governance unbuilt: no consent-notice ledger, DPO role, grievance, breach-notification, erasure-vs-retention reconciliation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Data Privacy &amp; Rights FR: consent/notice ledger, 6 data-principal rights, DPO role, grievance workflow, breach-notification workflow, retention/legal-hold engine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Core person attributes (name, gender, marital status, </w:t>
            </w:r>
            <w:r>
              <w:rPr>
                <w:b/>
                <w:sz w:val="18"/>
              </w:rPr>
              <w:t>category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DOB</w:t>
            </w:r>
            <w:r>
              <w:rPr>
                <w:sz w:val="18"/>
              </w:rPr>
              <w:t>, disability, religion) overwritten, not effective-dated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Unified </w:t>
            </w:r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spine; effective-dated with change_reason/source/gazette_ref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DOB and category lack a *governed* one-time change process (statutory in Indian service rules)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Governed-change workflow: single/limited alteration, documentary proof, approving authority, audit, SR 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Break-glass reveal has no rate limit / anomaly detection / pre-approval — mass-exfiltration channel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Volume caps, anomaly alerts, optional 4-eyes for bulk/special-category reveals, real-time (not digest) alerting on thresholds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Migration targets (99.5% VALID pass 1–2) infeasible vs paper legacy; hard NOT NULL/CHECK reject real rows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E,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PROVISIONAL/QUARANTINE record state + relaxed migration validation profile + remediation queue; nullable-during-migration columns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not effective-dated — Pay-Commission/reclassification history unreconstructable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Effective-date the </w:t>
            </w:r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table (pay_scale, title, reports_to, strength)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Audit-on-read synchronous in &lt;500 ms P95 path with 14 consumers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Async audit sink (queue/outbox); sampling/aggregation for high-volume machine reads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360° (20 tables + per-field policy + mask + audit) at 500k with no defined read model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CQRS/materialised read projection; cache resolved policy per role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Denormalisation via DB trigger conflicts with back-dated corrections + outbox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Service-layer sync inside the transaction; remove trigger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optimistic-lock column despite "version check"/etag claims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row_version</w:t>
            </w:r>
            <w:r>
              <w:rPr>
                <w:sz w:val="18"/>
              </w:rPr>
              <w:t xml:space="preserve"> to every mutable table; 409 on mismatch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Change-feed event backbone undefined (transport, retention, replay, DLQ, ordering)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Specify backbone (e.g., DB-polled outbox or Kafka), retention/replay window, dead-letter, ordering guarantee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last_name NOT NULL</w:t>
            </w:r>
            <w:r>
              <w:rPr>
                <w:sz w:val="18"/>
              </w:rPr>
              <w:t xml:space="preserve"> rejects mononym (single-name) employees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Configurable name model; allow single legal name; 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nullable with a "single-name"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Deceased → family-pension identity/heir record + data-rights transfer unhandled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DECEASED downstream: legal-heir/nominee linkage, family-pensioner record creation hook to M11, data-rights succession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(EWS/OBC) certificate validity/expiry and PwD UDID/percentage not modelled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certificate sub-entity: type, number, issuing authority, valid_from/to, percentage (PwD), creamy-layer status; expiry alerts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Wrong FR cross-reference (§3/§4.3 cite FR-012 for field access; it is FR-013); entity count 18/19/20 confusing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Correct references; restate entity count once, cleanly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phonetic/transliteration search across scripts; dedup/directory under-match Indian names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Phonetic + transliteration search on name/</w:t>
            </w:r>
            <w:r>
              <w:rPr>
                <w:rFonts w:ascii="Consolas" w:hAnsi="Consolas"/>
                <w:sz w:val="18"/>
              </w:rPr>
              <w:t>name_local</w:t>
            </w:r>
            <w:r>
              <w:rPr>
                <w:sz w:val="18"/>
              </w:rPr>
              <w:t>; feed dedup matcher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High-risk non-bank changes (PAN, Aadhaar, category, DOB, pension nominee) lack 4-eyes that bank enjoys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C,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maker-checker/4-eyes to a configurable set of high-risk fields, not bank-only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"0 unresolved gaps / all ✅ Resolved" overstates confidence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Replace with an honest open-issues register; keep Appendix-E candour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Foreign nationals/consultants without PAN/Aadhaar; </w:t>
            </w:r>
            <w:r>
              <w:rPr>
                <w:rFonts w:ascii="Consolas" w:hAnsi="Consolas"/>
                <w:sz w:val="18"/>
              </w:rPr>
              <w:t>official_email</w:t>
            </w:r>
            <w:r>
              <w:rPr>
                <w:sz w:val="18"/>
              </w:rPr>
              <w:t xml:space="preserve"> not unique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D,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Conditional statutory-ID requirement by nationality/employment_type; unique constraint on official_email</w:t>
            </w:r>
          </w:p>
        </w:tc>
      </w:tr>
    </w:tbl>
    <w:p/>
    <w:p>
      <w:r>
        <w:rPr>
          <w:b/>
        </w:rPr>
        <w:t>Severity tally: 22 risks (3 Critical, 6 High, 6 Medium, 7 Low).</w:t>
      </w:r>
    </w:p>
    <w:p>
      <w:pPr>
        <w:pStyle w:val="Heading2"/>
      </w:pPr>
      <w:r>
        <w:rPr>
          <w:b/>
          <w:color w:val="1F3864"/>
          <w:sz w:val="30"/>
        </w:rPr>
        <w:t>Where the Council Agrees</w:t>
      </w:r>
    </w:p>
    <w:p>
      <w:pPr>
        <w:pStyle w:val="ListBullet"/>
      </w:pPr>
      <w:r>
        <w:t xml:space="preserve">The </w:t>
      </w:r>
      <w:r>
        <w:rPr>
          <w:b/>
        </w:rPr>
        <w:t>spine is excellent</w:t>
      </w:r>
      <w:r>
        <w:t>: contract-first SSOT, post≠person positions, effective dating, outbox, server-side field masking. Protect these in v2.</w:t>
      </w:r>
    </w:p>
    <w:p>
      <w:pPr>
        <w:pStyle w:val="ListBullet"/>
      </w:pPr>
      <w:r>
        <w:rPr>
          <w:b/>
        </w:rPr>
        <w:t>Compliance is the weakest dimension</w:t>
      </w:r>
      <w:r>
        <w:t xml:space="preserve"> relative to the document's own ambitions — asserted, not engineered (Aadhaar, DPDP rights, retention/erasure).</w:t>
      </w:r>
    </w:p>
    <w:p>
      <w:pPr>
        <w:pStyle w:val="ListBullet"/>
      </w:pPr>
      <w:r>
        <w:t xml:space="preserve">The </w:t>
      </w:r>
      <w:r>
        <w:rPr>
          <w:b/>
        </w:rPr>
        <w:t>cross-module merge</w:t>
      </w:r>
      <w:r>
        <w:t xml:space="preserve"> is a genuine architectural defect, not a nit.</w:t>
      </w:r>
    </w:p>
    <w:p>
      <w:pPr>
        <w:pStyle w:val="ListBullet"/>
      </w:pPr>
      <w:r>
        <w:rPr>
          <w:b/>
        </w:rPr>
        <w:t>Personal-attribute history</w:t>
      </w:r>
      <w:r>
        <w:t xml:space="preserve"> is the single highest-leverage data-model correction.</w:t>
      </w:r>
    </w:p>
    <w:p>
      <w:pPr>
        <w:pStyle w:val="ListBullet"/>
      </w:pPr>
      <w:r>
        <w:t xml:space="preserve">The </w:t>
      </w:r>
      <w:r>
        <w:rPr>
          <w:b/>
        </w:rPr>
        <w:t>migration plan is optimistic</w:t>
      </w:r>
      <w:r>
        <w:t xml:space="preserve"> to the point of being a schedule risk.</w:t>
      </w:r>
    </w:p>
    <w:p>
      <w:pPr>
        <w:pStyle w:val="Heading2"/>
      </w:pPr>
      <w:r>
        <w:rPr>
          <w:b/>
          <w:color w:val="1F3864"/>
          <w:sz w:val="30"/>
        </w:rPr>
        <w:t>Where the Council Clashes</w:t>
      </w:r>
    </w:p>
    <w:p>
      <w:pPr>
        <w:pStyle w:val="ListBullet"/>
      </w:pPr>
      <w:r>
        <w:rPr>
          <w:b/>
        </w:rPr>
        <w:t>Scope/over-engineering:</w:t>
      </w:r>
      <w:r>
        <w:t xml:space="preserve"> A/E want the full platform; C/D see speculative configurability (custom fields, weighting). *Resolved in Second Pass: build spine, defer surface.*</w:t>
      </w:r>
    </w:p>
    <w:p>
      <w:pPr>
        <w:pStyle w:val="ListBullet"/>
      </w:pPr>
      <w:r>
        <w:rPr>
          <w:b/>
        </w:rPr>
        <w:t>Payroll blocking:</w:t>
      </w:r>
      <w:r>
        <w:t xml:space="preserve"> FR-014 asserts it; B/C/D reject it. *Resolved: advisory-only; gate disbursement in M10.*</w:t>
      </w:r>
    </w:p>
    <w:p>
      <w:pPr>
        <w:pStyle w:val="ListBullet"/>
      </w:pPr>
      <w:r>
        <w:rPr>
          <w:b/>
        </w:rPr>
        <w:t>Severity discipline:</w:t>
      </w:r>
      <w:r>
        <w:t xml:space="preserve"> B's "everything is fatal" vs the others' triage. *Resolved by the risk register.*</w:t>
      </w:r>
    </w:p>
    <w:p>
      <w:pPr>
        <w:pStyle w:val="Heading2"/>
      </w:pPr>
      <w:r>
        <w:rPr>
          <w:b/>
          <w:color w:val="1F3864"/>
          <w:sz w:val="30"/>
        </w:rPr>
        <w:t>Blind Spots Caught (by peer review, missed by all five advisors)</w:t>
      </w:r>
    </w:p>
    <w:p>
      <w:pPr>
        <w:pStyle w:val="ListNumber"/>
      </w:pPr>
      <w:r>
        <w:rPr>
          <w:b/>
        </w:rPr>
        <w:t>Deceased → family-pension/legal-heir identity and data-rights succession</w:t>
      </w:r>
      <w:r>
        <w:t xml:space="preserve"> (R16).</w:t>
      </w:r>
    </w:p>
    <w:p>
      <w:pPr>
        <w:pStyle w:val="ListNumber"/>
      </w:pPr>
      <w:r>
        <w:rPr>
          <w:b/>
        </w:rPr>
        <w:t>Governed one-time DOB/category change process</w:t>
      </w:r>
      <w:r>
        <w:t xml:space="preserve"> distinct from mere versioning (R6).</w:t>
      </w:r>
    </w:p>
    <w:p>
      <w:pPr>
        <w:pStyle w:val="ListNumber"/>
      </w:pPr>
      <w:r>
        <w:rPr>
          <w:b/>
        </w:rPr>
        <w:t>Change-feed event backbone</w:t>
      </w:r>
      <w:r>
        <w:t xml:space="preserve"> is undefined architecture (R14).</w:t>
      </w:r>
    </w:p>
    <w:p>
      <w:pPr>
        <w:pStyle w:val="ListNumber"/>
      </w:pPr>
      <w:r>
        <w:rPr>
          <w:b/>
        </w:rPr>
        <w:t>Phonetic/transliteration search</w:t>
      </w:r>
      <w:r>
        <w:t xml:space="preserve"> across scripts (R19).</w:t>
      </w:r>
    </w:p>
    <w:p>
      <w:pPr>
        <w:pStyle w:val="ListNumber"/>
      </w:pPr>
      <w:r>
        <w:rPr>
          <w:b/>
        </w:rPr>
        <w:t>Category certificate validity + PwD UDID/percentage</w:t>
      </w:r>
      <w:r>
        <w:t xml:space="preserve"> — even the *current* value needs a certificate entity (R17).</w:t>
      </w:r>
    </w:p>
    <w:p>
      <w:pPr>
        <w:pStyle w:val="Heading2"/>
      </w:pPr>
      <w:r>
        <w:rPr>
          <w:b/>
          <w:color w:val="1F3864"/>
          <w:sz w:val="30"/>
        </w:rPr>
        <w:t>Idea Evolution (v1 → v2 in one line)</w:t>
      </w:r>
    </w:p>
    <w:p>
      <w:r>
        <w:t>From *"a beautifully engineered MDM spine that claims compliance"* to *"a beautifully engineered MDM spine that engineers compliance, versions the facts that matter, and never lets a data flag withhold a wage."*</w:t>
      </w:r>
    </w:p>
    <w:p>
      <w:pPr>
        <w:pStyle w:val="Heading2"/>
      </w:pPr>
      <w:r>
        <w:rPr>
          <w:b/>
          <w:color w:val="1F3864"/>
          <w:sz w:val="30"/>
        </w:rPr>
        <w:t>The One Thing To Do First</w:t>
      </w:r>
    </w:p>
    <w:p>
      <w:r>
        <w:rPr>
          <w:b/>
        </w:rPr>
        <w:t>Replace the cross-module merge with an M01-owned `employee_id_aliases` table and a `RECORDS_MERGED` feed event — and freeze that, the field-access contract, and the consumption-API shape *before* any parallel track starts.</w:t>
      </w:r>
      <w:r>
        <w:t xml:space="preserve"> It is the only Critical risk that is also a frozen public contract: get it wrong and all 13 downstream modules inherit a broken identity-resolution boundary that is near-impossible to retrofit. Everything else can be corrected per-module; this cannot.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Add an `employee_id_aliases(loser_id → survivor_id, merged_at, mergeable_back_until)` entity owned by M01.</w:t>
      </w:r>
      <w:r>
        <w:t xml:space="preserve"> Rewrite FR-015 so merge consolidates only M01 satellites, soft-deletes the loser, writes an alias, and emits </w:t>
      </w:r>
      <w:r>
        <w:rPr>
          <w:rFonts w:ascii="Consolas" w:hAnsi="Consolas"/>
          <w:sz w:val="20"/>
        </w:rPr>
        <w:t>RECORDS_MERGED{survivor_id, loser_id}</w:t>
      </w:r>
      <w:r>
        <w:t xml:space="preserve"> on the change feed. Remove all "update FKs across dependent modules' references." Consumers resolve identity via alias. (R2)</w:t>
      </w:r>
    </w:p>
    <w:p>
      <w:pPr>
        <w:pStyle w:val="ListNumber"/>
      </w:pPr>
      <w:r>
        <w:rPr>
          <w:b/>
        </w:rPr>
        <w:t>Add an Aadhaar Data Vault design.</w:t>
      </w:r>
      <w:r>
        <w:t xml:space="preserve"> Store the Aadhaar number only in a separate hardened vault keyed by a Reference Key;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employee_identity_documents</w:t>
      </w:r>
      <w:r>
        <w:t xml:space="preserve"> hold only the masked value + reference key. Remove the duplicate </w:t>
      </w:r>
      <w:r>
        <w:rPr>
          <w:rFonts w:ascii="Consolas" w:hAnsi="Consolas"/>
          <w:sz w:val="20"/>
        </w:rPr>
        <w:t>employees.national_id</w:t>
      </w:r>
      <w:r>
        <w:t xml:space="preserve"> Aadhaar copy. Document the lawful basis (AUA/KUA or statute) and DPDP/Aadhaar-Act controls explicitly. (R1)</w:t>
      </w:r>
    </w:p>
    <w:p>
      <w:pPr>
        <w:pStyle w:val="ListNumber"/>
      </w:pPr>
      <w:r>
        <w:rPr>
          <w:b/>
        </w:rPr>
        <w:t>Isolate biometric and facial-photo processing</w:t>
      </w:r>
      <w:r>
        <w:t xml:space="preserve"> with its own purpose declaration, consent/notice, restricted role, and retention — separate from general profile photos; state that no raw biometric template is stored in M01 and that facial-recognition use for attendance is a distinct, consented purpose. (R1)</w:t>
      </w:r>
    </w:p>
    <w:p>
      <w:pPr>
        <w:pStyle w:val="ListNumber"/>
      </w:pPr>
      <w:r>
        <w:rPr>
          <w:b/>
        </w:rPr>
        <w:t>Add FR-EPM-020 — Data Privacy, Consent &amp; Data-Principal Rights:</w:t>
      </w:r>
      <w:r>
        <w:t xml:space="preserve"> consent/notice ledger; the six DPDP rights beyond export (access, correction, erasure, grievance, nomination, withdrawal); a </w:t>
      </w:r>
      <w:r>
        <w:rPr>
          <w:b/>
        </w:rPr>
        <w:t>Data Protection Officer</w:t>
      </w:r>
      <w:r>
        <w:t xml:space="preserve"> role; a </w:t>
      </w:r>
      <w:r>
        <w:rPr>
          <w:b/>
        </w:rPr>
        <w:t>grievance/redress workflow</w:t>
      </w:r>
      <w:r>
        <w:t xml:space="preserve">; and a </w:t>
      </w:r>
      <w:r>
        <w:rPr>
          <w:b/>
        </w:rPr>
        <w:t>personal-data-breach notification workflow</w:t>
      </w:r>
      <w:r>
        <w:t xml:space="preserve"> to the Data Protection Board with timelines. (R4)</w:t>
      </w:r>
    </w:p>
    <w:p>
      <w:pPr>
        <w:pStyle w:val="ListNumber"/>
      </w:pPr>
      <w:r>
        <w:rPr>
          <w:b/>
        </w:rPr>
        <w:t>Add FR-EPM-021 — Retention, Legal Hold &amp; Erasure:</w:t>
      </w:r>
      <w:r>
        <w:t xml:space="preserve"> a retention-policy entity (per record class/statutory schedule), an </w:t>
      </w:r>
      <w:r>
        <w:rPr>
          <w:b/>
        </w:rPr>
        <w:t>archival/retained state</w:t>
      </w:r>
      <w:r>
        <w:t xml:space="preserve">, a </w:t>
      </w:r>
      <w:r>
        <w:rPr>
          <w:b/>
        </w:rPr>
        <w:t>legal-hold</w:t>
      </w:r>
      <w:r>
        <w:t xml:space="preserve"> flag (blocks purge for disciplinary/litigation/pension), and explicit reconciliation of right-to-erasure </w:t>
      </w:r>
      <w:r>
        <w:rPr>
          <w:b/>
        </w:rPr>
        <w:t>against</w:t>
      </w:r>
      <w:r>
        <w:t xml:space="preserve"> statutory retention (retention wins where lawful; document precedence). (R4)</w:t>
      </w:r>
    </w:p>
    <w:p>
      <w:pPr>
        <w:pStyle w:val="ListNumber"/>
      </w:pPr>
      <w:r>
        <w:rPr>
          <w:b/>
        </w:rPr>
        <w:t>Change the data-quality `BLOCKED` rule to advisory-only.</w:t>
      </w:r>
      <w:r>
        <w:t xml:space="preserve"> Completeness/DQ never blocks payroll. Move disbursement gating to M10 as a specific </w:t>
      </w:r>
      <w:r>
        <w:rPr>
          <w:rFonts w:ascii="Consolas" w:hAnsi="Consolas"/>
          <w:sz w:val="20"/>
        </w:rPr>
        <w:t>NO_VERIFIED_BANK</w:t>
      </w:r>
      <w:r>
        <w:t xml:space="preserve"> precondition with a non-electronic fallback so wages are never withheld for data hygiene. (R3)</w:t>
      </w:r>
    </w:p>
    <w:p>
      <w:pPr>
        <w:pStyle w:val="ListNumber"/>
      </w:pPr>
      <w:r>
        <w:rPr>
          <w:b/>
        </w:rPr>
        <w:t>Add a unified `employee_attribute_history` spine</w:t>
      </w:r>
      <w:r>
        <w:t xml:space="preserve"> that effective-dates core person attributes — 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gender</w:t>
      </w:r>
      <w:r>
        <w:t xml:space="preserve">, </w:t>
      </w:r>
      <w:r>
        <w:rPr>
          <w:rFonts w:ascii="Consolas" w:hAnsi="Consolas"/>
          <w:sz w:val="20"/>
        </w:rPr>
        <w:t>marital_status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</w:t>
      </w:r>
      <w:r>
        <w:rPr>
          <w:rFonts w:ascii="Consolas" w:hAnsi="Consolas"/>
          <w:sz w:val="20"/>
        </w:rPr>
        <w:t>dob</w:t>
      </w:r>
      <w:r>
        <w:t xml:space="preserve">, </w:t>
      </w:r>
      <w:r>
        <w:rPr>
          <w:rFonts w:ascii="Consolas" w:hAnsi="Consolas"/>
          <w:sz w:val="20"/>
        </w:rPr>
        <w:t>disability</w:t>
      </w:r>
      <w:r>
        <w:t xml:space="preserve">, </w:t>
      </w:r>
      <w:r>
        <w:rPr>
          <w:rFonts w:ascii="Consolas" w:hAnsi="Consolas"/>
          <w:sz w:val="20"/>
        </w:rPr>
        <w:t>religion</w:t>
      </w:r>
      <w:r>
        <w:t xml:space="preserve"> — with </w:t>
      </w:r>
      <w:r>
        <w:rPr>
          <w:rFonts w:ascii="Consolas" w:hAnsi="Consolas"/>
          <w:sz w:val="20"/>
        </w:rPr>
        <w:t>effective_from/to</w:t>
      </w:r>
      <w:r>
        <w:t xml:space="preserve">, </w:t>
      </w:r>
      <w:r>
        <w:rPr>
          <w:rFonts w:ascii="Consolas" w:hAnsi="Consolas"/>
          <w:sz w:val="20"/>
        </w:rPr>
        <w:t>change_reason</w:t>
      </w:r>
      <w:r>
        <w:t xml:space="preserve">, </w:t>
      </w:r>
      <w:r>
        <w:rPr>
          <w:rFonts w:ascii="Consolas" w:hAnsi="Consolas"/>
          <w:sz w:val="20"/>
        </w:rPr>
        <w:t>source</w:t>
      </w:r>
      <w:r>
        <w:t xml:space="preserve">, and </w:t>
      </w:r>
      <w:r>
        <w:rPr>
          <w:rFonts w:ascii="Consolas" w:hAnsi="Consolas"/>
          <w:sz w:val="20"/>
        </w:rPr>
        <w:t>gazette_ref</w:t>
      </w:r>
      <w:r>
        <w:t xml:space="preserve">. Stop overwriting these on </w:t>
      </w:r>
      <w:r>
        <w:rPr>
          <w:rFonts w:ascii="Consolas" w:hAnsi="Consolas"/>
          <w:sz w:val="20"/>
        </w:rPr>
        <w:t>employees</w:t>
      </w:r>
      <w:r>
        <w:t>. (R5)</w:t>
      </w:r>
    </w:p>
    <w:p>
      <w:pPr>
        <w:pStyle w:val="ListNumber"/>
      </w:pPr>
      <w:r>
        <w:rPr>
          <w:b/>
        </w:rPr>
        <w:t>Add a governed-change workflow for DOB and category</w:t>
      </w:r>
      <w:r>
        <w:t xml:space="preserve"> (and other statutorily-controlled fields): limited/one-time alteration, mandatory documentary proof (</w:t>
      </w:r>
      <w:r>
        <w:rPr>
          <w:rFonts w:ascii="Consolas" w:hAnsi="Consolas"/>
          <w:sz w:val="20"/>
        </w:rPr>
        <w:t>document_id</w:t>
      </w:r>
      <w:r>
        <w:t>), named approving authority, full audit, and an SR event. (R6)</w:t>
      </w:r>
    </w:p>
    <w:p>
      <w:pPr>
        <w:pStyle w:val="ListNumber"/>
      </w:pPr>
      <w:r>
        <w:rPr>
          <w:b/>
        </w:rPr>
        <w:t>Effective-date the `positions` entity</w:t>
      </w:r>
      <w:r>
        <w:t xml:space="preserve"> (pay_scale_id, title, reports_to, sanctioned_count, status) so Pay-Commission/reclassification history is reconstructable. (R9)</w:t>
      </w:r>
    </w:p>
    <w:p>
      <w:pPr>
        <w:pStyle w:val="ListNumber"/>
      </w:pPr>
      <w:r>
        <w:rPr>
          <w:b/>
        </w:rPr>
        <w:t>Harden break-glass:</w:t>
      </w:r>
      <w:r>
        <w:t xml:space="preserve"> per-user/per-window volume caps, anomaly detection, real-time alerting on thresholds (not just a digest), and optional 4-eyes for bulk or special-category reveals. (R7)</w:t>
      </w:r>
    </w:p>
    <w:p>
      <w:pPr>
        <w:pStyle w:val="ListNumber"/>
      </w:pPr>
      <w:r>
        <w:rPr>
          <w:b/>
        </w:rPr>
        <w:t>Add a PROVISIONAL/QUARANTINE record state and a relaxed migration-validation profile</w:t>
      </w:r>
      <w:r>
        <w:t xml:space="preserve"> with a manual remediation queue; make migration-affected columns nullable-during-migration; replace the 99.5%-VALID target with a realistic, staged data-quality glide path. (R8)</w:t>
      </w:r>
    </w:p>
    <w:p>
      <w:pPr>
        <w:pStyle w:val="ListNumber"/>
      </w:pPr>
      <w:r>
        <w:rPr>
          <w:b/>
        </w:rPr>
        <w:t>Add `row_version` (optimistic-lock) to every mutable entity</w:t>
      </w:r>
      <w:r>
        <w:t xml:space="preserve"> and define </w:t>
      </w:r>
      <w:r>
        <w:rPr>
          <w:rFonts w:ascii="Consolas" w:hAnsi="Consolas"/>
          <w:sz w:val="20"/>
        </w:rPr>
        <w:t>409 CONFLICT</w:t>
      </w:r>
      <w:r>
        <w:t xml:space="preserve"> on mismatch; make the API </w:t>
      </w:r>
      <w:r>
        <w:rPr>
          <w:rFonts w:ascii="Consolas" w:hAnsi="Consolas"/>
          <w:sz w:val="20"/>
        </w:rPr>
        <w:t>etag</w:t>
      </w:r>
      <w:r>
        <w:t xml:space="preserve"> derive from it. Replace vague "last-writer"/"version check" language. (R13)</w:t>
      </w:r>
    </w:p>
    <w:p>
      <w:pPr>
        <w:pStyle w:val="ListNumber"/>
      </w:pPr>
      <w:r>
        <w:rPr>
          <w:b/>
        </w:rPr>
        <w:t>Specify the change-feed event backbone:</w:t>
      </w:r>
      <w:r>
        <w:t xml:space="preserve"> transport (DB-polled outbox or streaming), ordering guarantee, retention/replay window, cursor semantics, tombstones, and dead-letter handling. (R14)</w:t>
      </w:r>
    </w:p>
    <w:p>
      <w:pPr>
        <w:pStyle w:val="ListNumber"/>
      </w:pPr>
      <w:r>
        <w:rPr>
          <w:b/>
        </w:rPr>
        <w:t>Move audit-on-read off the hot path</w:t>
      </w:r>
      <w:r>
        <w:t xml:space="preserve"> to an async sink; define sampling/aggregation for high-volume machine consumer reads so the &lt;500 ms P95 and full-audit requirements coexist. (R10)</w:t>
      </w:r>
    </w:p>
    <w:p>
      <w:pPr>
        <w:pStyle w:val="ListNumber"/>
      </w:pPr>
      <w:r>
        <w:rPr>
          <w:b/>
        </w:rPr>
        <w:t>Define a CQRS/materialised read projection for the 360° view</w:t>
      </w:r>
      <w:r>
        <w:t xml:space="preserve"> and resolved-policy caching; replace "read-optimised/parallel fetch" adjectives with an actual read-model design and a stated latency budget at 500k records. (R11)</w:t>
      </w:r>
    </w:p>
    <w:p>
      <w:pPr>
        <w:pStyle w:val="ListNumber"/>
      </w:pPr>
      <w:r>
        <w:rPr>
          <w:b/>
        </w:rPr>
        <w:t>Replace the denormalisation DB trigger with explicit service-layer sync</w:t>
      </w:r>
      <w:r>
        <w:t xml:space="preserve"> inside the assignment transaction; specify behaviour under back-dated corrections. (R12)</w:t>
      </w:r>
    </w:p>
    <w:p>
      <w:pPr>
        <w:pStyle w:val="ListNumber"/>
      </w:pPr>
      <w:r>
        <w:rPr>
          <w:b/>
        </w:rPr>
        <w:t>Make the name model configurable and allow mononyms:</w:t>
      </w:r>
      <w:r>
        <w:t xml:space="preserve"> </w:t>
      </w:r>
      <w:r>
        <w:rPr>
          <w:rFonts w:ascii="Consolas" w:hAnsi="Consolas"/>
          <w:sz w:val="20"/>
        </w:rPr>
        <w:t>last_name</w:t>
      </w:r>
      <w:r>
        <w:t xml:space="preserve"> nullable with a single-legal-name flag; support </w:t>
      </w:r>
      <w:r>
        <w:rPr>
          <w:rFonts w:ascii="Consolas" w:hAnsi="Consolas"/>
          <w:sz w:val="20"/>
        </w:rPr>
        <w:t>name_local</w:t>
      </w:r>
      <w:r>
        <w:t xml:space="preserve"> and a display-name policy. (R15)</w:t>
      </w:r>
    </w:p>
    <w:p>
      <w:pPr>
        <w:pStyle w:val="ListNumber"/>
      </w:pPr>
      <w:r>
        <w:rPr>
          <w:b/>
        </w:rPr>
        <w:t>Define DECEASED downstream handling:</w:t>
      </w:r>
      <w:r>
        <w:t xml:space="preserve"> legal-heir/nominee linkage, creation hook for a family-pensioner record in M11, and data-rights succession to heirs under DPDP. (R16)</w:t>
      </w:r>
    </w:p>
    <w:p>
      <w:pPr>
        <w:pStyle w:val="ListNumber"/>
      </w:pPr>
      <w:r>
        <w:rPr>
          <w:b/>
        </w:rPr>
        <w:t>Add a certificate sub-entity</w:t>
      </w:r>
      <w:r>
        <w:t xml:space="preserve"> for category (EWS/OBC non-creamy-layer) and PwD: type, number, issuing authority, </w:t>
      </w:r>
      <w:r>
        <w:rPr>
          <w:rFonts w:ascii="Consolas" w:hAnsi="Consolas"/>
          <w:sz w:val="20"/>
        </w:rPr>
        <w:t>valid_from/to</w:t>
      </w:r>
      <w:r>
        <w:t>, disability percentage, creamy-layer status, with expiry alerts feeding completeness/DQ. (R17)</w:t>
      </w:r>
    </w:p>
    <w:p>
      <w:pPr>
        <w:pStyle w:val="ListNumber"/>
      </w:pPr>
      <w:r>
        <w:rPr>
          <w:b/>
        </w:rPr>
        <w:t>Extend maker-checker/4-eyes</w:t>
      </w:r>
      <w:r>
        <w:t xml:space="preserve"> from bank-only to a configurable high-risk field set (PAN, Aadhaar, category, DOB, pension nominee). (R20)</w:t>
      </w:r>
    </w:p>
    <w:p>
      <w:pPr>
        <w:pStyle w:val="ListNumber"/>
      </w:pPr>
      <w:r>
        <w:rPr>
          <w:b/>
        </w:rPr>
        <w:t>Add phonetic + transliteration search</w:t>
      </w:r>
      <w:r>
        <w:t xml:space="preserve"> over </w:t>
      </w:r>
      <w:r>
        <w:rPr>
          <w:rFonts w:ascii="Consolas" w:hAnsi="Consolas"/>
          <w:sz w:val="20"/>
        </w:rPr>
        <w:t>first/last_name</w:t>
      </w:r>
      <w:r>
        <w:t xml:space="preserve"> and </w:t>
      </w:r>
      <w:r>
        <w:rPr>
          <w:rFonts w:ascii="Consolas" w:hAnsi="Consolas"/>
          <w:sz w:val="20"/>
        </w:rPr>
        <w:t>name_local</w:t>
      </w:r>
      <w:r>
        <w:t xml:space="preserve">, and feed the same matcher into the dedup engine; handle foreign nationals/consultants without PAN/Aadhaar via conditional statutory-ID rules; add a unique constraint on </w:t>
      </w:r>
      <w:r>
        <w:rPr>
          <w:rFonts w:ascii="Consolas" w:hAnsi="Consolas"/>
          <w:sz w:val="20"/>
        </w:rPr>
        <w:t>official_email</w:t>
      </w:r>
      <w:r>
        <w:t>. (R19, R22)</w:t>
      </w:r>
    </w:p>
    <w:p>
      <w:pPr>
        <w:pStyle w:val="ListNumber"/>
      </w:pPr>
      <w:r>
        <w:rPr>
          <w:b/>
        </w:rPr>
        <w:t>Fix correctness/credibility defects:</w:t>
      </w:r>
      <w:r>
        <w:t xml:space="preserve"> correct the FR cross-reference (field access is </w:t>
      </w:r>
      <w:r>
        <w:rPr>
          <w:b/>
        </w:rPr>
        <w:t>FR-013</w:t>
      </w:r>
      <w:r>
        <w:t xml:space="preserve">, not FR-012, in §3 and §4.3); state the entity count once cleanly; and replace "0 unresolved gaps / all ✅ Resolved" with an honest open-issues register, </w:t>
      </w:r>
      <w:r>
        <w:rPr>
          <w:b/>
        </w:rPr>
        <w:t>explicitly phasing</w:t>
      </w:r>
      <w:r>
        <w:t xml:space="preserve"> must-have-v1 FRs vs deferred configurability (custom-field engine, weighting configurability, merge-undo UI). (R18, R21, and Second-Pass Clash 2)</w:t>
      </w:r>
    </w:p>
    <w:p>
      <w:r>
        <w:t>*End of council evaluation — 22 risks registered; 22 adopted improvements for BRD v2.*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M01 employee profile management council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