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M07 training skill development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Artefact:</w:t>
      </w:r>
      <w:r>
        <w:t xml:space="preserve"> </w:t>
      </w:r>
      <w:r>
        <w:rPr>
          <w:rFonts w:ascii="Consolas" w:hAnsi="Consolas"/>
          <w:sz w:val="20"/>
        </w:rPr>
        <w:t>/Users/n15318/hrms/docs/brd/v1/M07-training-skill-development.md</w:t>
      </w:r>
      <w:r>
        <w:t xml:space="preserve"> (v1.0)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Training &amp; Skill Development BRD complete, correct, and world-class (competency framework, skill-gap, calendar/nominations, LMS integration, certification, evaluation) for a leading global organisation's HRMS with public-sector statutory needs? What is missing, wrong, risky, over-engineered, or below best-in-class — and what concrete changes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focused second pass → adopted improvements.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A — The Proponent</w:t>
      </w:r>
    </w:p>
    <w:p>
      <w:r>
        <w:t>This BRD is, on its own terms, unusually complete and genuinely build-ready. It does what most HCM learning specs never manage: it closes the loop end-to-end — competency taxonomy → role competency models → employee skill inventory → gap analysis reconciled with appraisal (M08) and statutory mandates → training needs → annual plan/budget → catalog → sessions → maker-checker nominations → attendance → pre/post + Kirkpatrick L1–L4 → certification with validity/renewal → SR posting → budget actuals. The traceability matrix (§15.1), the parallel-agent wave plan (§15.2), and the Final Reconciliation Table (§15.4) make this directly executable by a fleet of agents.</w:t>
      </w:r>
    </w:p>
    <w:p>
      <w:r>
        <w:t>The public-sector rigour is real and not bolted on: append-only ledgers (</w:t>
      </w:r>
      <w:r>
        <w:rPr>
          <w:rFonts w:ascii="Consolas" w:hAnsi="Consolas"/>
          <w:sz w:val="20"/>
        </w:rPr>
        <w:t>skill_assessments</w:t>
      </w:r>
      <w:r>
        <w:t xml:space="preserve">, </w:t>
      </w:r>
      <w:r>
        <w:rPr>
          <w:rFonts w:ascii="Consolas" w:hAnsi="Consolas"/>
          <w:sz w:val="20"/>
        </w:rPr>
        <w:t>training_assessments</w:t>
      </w:r>
      <w:r>
        <w:t xml:space="preserve">, </w:t>
      </w:r>
      <w:r>
        <w:rPr>
          <w:rFonts w:ascii="Consolas" w:hAnsi="Consolas"/>
          <w:sz w:val="20"/>
        </w:rPr>
        <w:t>training_feedback</w:t>
      </w:r>
      <w:r>
        <w:t xml:space="preserve">, </w:t>
      </w:r>
      <w:r>
        <w:rPr>
          <w:rFonts w:ascii="Consolas" w:hAnsi="Consolas"/>
          <w:sz w:val="20"/>
        </w:rPr>
        <w:t>cpd_records</w:t>
      </w:r>
      <w:r>
        <w:t>, SR events), segregation-of-duties expressed as concrete invariants (</w:t>
      </w:r>
      <w:r>
        <w:rPr>
          <w:rFonts w:ascii="Consolas" w:hAnsi="Consolas"/>
          <w:sz w:val="20"/>
        </w:rPr>
        <w:t>nominated_by ≠ approver</w:t>
      </w:r>
      <w:r>
        <w:t xml:space="preserve">, budget </w:t>
      </w:r>
      <w:r>
        <w:rPr>
          <w:rFonts w:ascii="Consolas" w:hAnsi="Consolas"/>
          <w:sz w:val="20"/>
        </w:rPr>
        <w:t>approved_by ≠ cost creator</w:t>
      </w:r>
      <w:r>
        <w:t>), idempotent SR/LMS/payroll integration with explicit retry/FAILED states, and a mandatory-training rule (</w:t>
      </w:r>
      <w:r>
        <w:rPr>
          <w:rFonts w:ascii="Consolas" w:hAnsi="Consolas"/>
          <w:sz w:val="20"/>
        </w:rPr>
        <w:t>MANDATORY_CANNOT_BE_CANCELLED</w:t>
      </w:r>
      <w:r>
        <w:t>) that encodes statutory obligation as a state guard. The data-integrity rules (§5.6) are the kind of thing usually discovered in production — capacity invariants, budget non-overcommit, proficiency-ordering non-negativity, and "only VALIDATED skills close a gap" are all correctly stated.</w:t>
      </w:r>
    </w:p>
    <w:p>
      <w:r>
        <w:t>World-class HCM features are present, not aspirational hand-waving: learning paths, gap-driven recommendations, CPD credit ledger, skills marketplace (opt-in, DPDP-aware), SCORM/xAPI sync with idempotency keys, and feature flags for the riskier capabilities. The error catalog, JSON examples, notification matrix, and 12-report analytics list show the author thought about operations, not just the happy path.</w:t>
      </w:r>
    </w:p>
    <w:p>
      <w:r>
        <w:t>This is comfortably above the bar set by a typical SuccessFactors/Cornerstone implementation spec for a enterprise client. My recommendation: approve for build with targeted amendments. The gaps that follow are refinements on a strong foundation, not foundational rework. The single highest-value thing the document already gets right — and which most enterprise L&amp;D systems get wrong — is making statutory compliance and SR posting first-class, idempotent, and auditable rather than an afterthought.</w:t>
      </w:r>
    </w:p>
    <w:p>
      <w:pPr>
        <w:pStyle w:val="Heading3"/>
      </w:pPr>
      <w:r>
        <w:rPr>
          <w:b/>
          <w:color w:val="2E5B9E"/>
          <w:sz w:val="26"/>
        </w:rPr>
        <w:t>Advisor B — The Contrarian (non-obvious failure modes)</w:t>
      </w:r>
    </w:p>
    <w:p>
      <w:r>
        <w:t>The document's polish hides five failure modes that will surface 12–18 months post-launch, plus one the author missed entirely.</w:t>
      </w:r>
    </w:p>
    <w:p>
      <w:r>
        <w:rPr>
          <w:b/>
        </w:rPr>
        <w:t>1. Competency-model maintenance burden becomes "framework rot."</w:t>
      </w:r>
      <w:r>
        <w:t xml:space="preserve"> The model machinery (models, items, weights, critical flags, five-level scope precedence, versioning, effective dating) is elegant — and nobody will keep it current for 200k employees across hundreds of designations. There is no review cadence, no </w:t>
      </w:r>
      <w:r>
        <w:rPr>
          <w:rFonts w:ascii="Consolas" w:hAnsi="Consolas"/>
          <w:sz w:val="20"/>
        </w:rPr>
        <w:t>next_review_date</w:t>
      </w:r>
      <w:r>
        <w:t>, no owner-accountability, no staleness alarm. A competency model published 2026-04-01 and never revisited silently produces *confidently wrong* gap analyses that then feed promotion (M06) and appraisal (M08). A stale framework is worse than none: it manufactures false precision.</w:t>
      </w:r>
    </w:p>
    <w:p>
      <w:r>
        <w:rPr>
          <w:b/>
        </w:rPr>
        <w:t>2. Skill-data staleness is structurally unmanaged for the majority of skills.</w:t>
      </w:r>
      <w:r>
        <w:t xml:space="preserve"> Only </w:t>
      </w:r>
      <w:r>
        <w:rPr>
          <w:rFonts w:ascii="Consolas" w:hAnsi="Consolas"/>
          <w:sz w:val="20"/>
        </w:rPr>
        <w:t>is_compliance_skill</w:t>
      </w:r>
      <w:r>
        <w:t xml:space="preserve"> rows get </w:t>
      </w:r>
      <w:r>
        <w:rPr>
          <w:rFonts w:ascii="Consolas" w:hAnsi="Consolas"/>
          <w:sz w:val="20"/>
        </w:rPr>
        <w:t>default_validity_months</w:t>
      </w:r>
      <w:r>
        <w:t xml:space="preserve"> and nightly expiry. A self-or-manager-validated "PostgreSQL L3" from 2026 counts toward closing a gap *forever*. There is no decay, no re-validation interval, no "last validated" freshness on non-compliance skills. Gap analysis (FR-004) trusts indefinitely-stale VALIDATED skills — the engine's inputs rot while its outputs look authoritative.</w:t>
      </w:r>
    </w:p>
    <w:p>
      <w:r>
        <w:rPr>
          <w:b/>
        </w:rPr>
        <w:t>3. The SCORM integration is architecturally mis-modelled.</w:t>
      </w:r>
      <w:r>
        <w:t xml:space="preserve"> SCORM 1.2/2004 has </w:t>
      </w:r>
      <w:r>
        <w:rPr>
          <w:b/>
        </w:rPr>
        <w:t>no server-to-server completion push</w:t>
      </w:r>
      <w:r>
        <w:t xml:space="preserve"> — its run-time API lives client-side *inside the hosting LMS*; there is no "SCORM webhook." FR-015 and §10.4 describe a SCORM webhook that cannot exist as drawn. Real integration is either (a) you host SCORM yourself and need a content player + sequencing engine, or (b) you poll the LMS reporting API, or (c) you stand up an xAPI </w:t>
      </w:r>
      <w:r>
        <w:rPr>
          <w:b/>
        </w:rPr>
        <w:t>LRS</w:t>
      </w:r>
      <w:r>
        <w:t>. There is no LRS entity, no content-hosting decision, and no single-vs-multi-LMS stance. This FR will fail first contact with a real LMS.</w:t>
      </w:r>
    </w:p>
    <w:p>
      <w:r>
        <w:rPr>
          <w:b/>
        </w:rPr>
        <w:t>4. Certification validity is tracked but not *enforced*, and external/professional certs have no home.</w:t>
      </w:r>
      <w:r>
        <w:t xml:space="preserve"> Expiry fires a notification and nothing else — no auto re-nomination to the renewal program, no linkage that blocks a lapsed-mandatory-cert holder from a sensitive duty. And </w:t>
      </w:r>
      <w:r>
        <w:rPr>
          <w:rFonts w:ascii="Consolas" w:hAnsi="Consolas"/>
          <w:sz w:val="20"/>
        </w:rPr>
        <w:t>certifications.training_program_id</w:t>
      </w:r>
      <w:r>
        <w:t xml:space="preserve"> is nullable but there is </w:t>
      </w:r>
      <w:r>
        <w:rPr>
          <w:b/>
        </w:rPr>
        <w:t>no FR to capture externally-acquired credentials</w:t>
      </w:r>
      <w:r>
        <w:t xml:space="preserve"> (PMP, CISA, a statutory licence) with issuer verification — a glaring hole for a workforce whose service register must record significant qualifications regardless of who delivered them.</w:t>
      </w:r>
    </w:p>
    <w:p>
      <w:r>
        <w:rPr>
          <w:b/>
        </w:rPr>
        <w:t>5. Training-ROI proof is asserted as a KPI but not instrumented.</w:t>
      </w:r>
      <w:r>
        <w:t xml:space="preserve"> Kirkpatrick L4 is a free-form </w:t>
      </w:r>
      <w:r>
        <w:rPr>
          <w:rFonts w:ascii="Consolas" w:hAnsi="Consolas"/>
          <w:sz w:val="20"/>
        </w:rPr>
        <w:t>responses_json</w:t>
      </w:r>
      <w:r>
        <w:t xml:space="preserve"> with no linkage to actual business KPIs in M14, no cost-per-outcome, no ROI computation — yet "world-class" and the §1.5 metrics imply it. L3 "manager-observed behaviour change at T+90" (Appendix C) is operationally fictional in a 200k-person enterprise org; it will be blank in production.</w:t>
      </w:r>
    </w:p>
    <w:p>
      <w:r>
        <w:rPr>
          <w:b/>
        </w:rPr>
        <w:t>The risk the author missed — mandatory-compliance at scale has no campaign engine.</w:t>
      </w:r>
      <w:r>
        <w:t xml:space="preserve"> Cyber-security awareness is mandatory for everyone, validity 12 months. That is ~200k nominations/year that must be created, scheduled into capacity-bounded sessions (the sample session caps at 500), tracked, escalated, and renewed *on a rolling annual cycle*. FR-009 nominates </w:t>
      </w:r>
      <w:r>
        <w:rPr>
          <w:b/>
        </w:rPr>
        <w:t>one employee at a time</w:t>
      </w:r>
      <w:r>
        <w:t>. There is no bulk/campaign nomination, no auto-wave scheduling, no rolling-renewal orchestration. The system's single most important statutory job — getting everyone through annual mandatory training — is the one workflow it cannot perform at volume.</w:t>
      </w:r>
    </w:p>
    <w:p>
      <w:pPr>
        <w:pStyle w:val="Heading3"/>
      </w:pPr>
      <w:r>
        <w:rPr>
          <w:b/>
          <w:color w:val="2E5B9E"/>
          <w:sz w:val="26"/>
        </w:rPr>
        <w:t>Advisor C — The First-Principles Thinker</w:t>
      </w:r>
    </w:p>
    <w:p>
      <w:r>
        <w:t xml:space="preserve">Strip the BRD to its job-to-be-done and you find </w:t>
      </w:r>
      <w:r>
        <w:rPr>
          <w:b/>
        </w:rPr>
        <w:t>two different products fused at equal weight</w:t>
      </w:r>
      <w:r>
        <w:t>, which is the document's central framing error.</w:t>
      </w:r>
    </w:p>
    <w:p>
      <w:r>
        <w:t xml:space="preserve">Product 1 is </w:t>
      </w:r>
      <w:r>
        <w:rPr>
          <w:b/>
        </w:rPr>
        <w:t>statutory</w:t>
      </w:r>
      <w:r>
        <w:t>: every employee completes mandated training within a window; significant trainings/qualifications land in the Digital SR append-only and immutably; auditors can prove it. This must be bulletproof, simple, and high-volume. Its natural primitives are *programs, mandatory flags, completion, certificates, SR events, and campaigns*. It barely needs a competency model at all.</w:t>
      </w:r>
    </w:p>
    <w:p>
      <w:r>
        <w:t xml:space="preserve">Product 2 is </w:t>
      </w:r>
      <w:r>
        <w:rPr>
          <w:b/>
        </w:rPr>
        <w:t>developmental</w:t>
      </w:r>
      <w:r>
        <w:t>: a competency taxonomy, role models, weighted gap scoring, learning paths, recommendations, a skills marketplace. This is genuinely valuable but is a maturity journey, not a launch requirement, and its value is realised only if the framework is continuously curated.</w:t>
      </w:r>
    </w:p>
    <w:p>
      <w:r>
        <w:t xml:space="preserve">The hidden assumption binding them is: *"managers and L&amp;D will maintain competency models and validate skills for the whole workforce."* In a enterprise context where promotion is substantially seniority-driven (M06 is literally "seniority, promotions, progression"), the behavioural incentive to maintain a competency framework is weak. So the heavy machinery — five-level scope precedence (DESIGNATION&gt;ROLE&gt;CADRE&gt;ORG_UNIT&gt;GENERIC), </w:t>
      </w:r>
      <w:r>
        <w:rPr>
          <w:rFonts w:ascii="Consolas" w:hAnsi="Consolas"/>
          <w:sz w:val="20"/>
        </w:rPr>
        <w:t>NUMERIC(5,2)</w:t>
      </w:r>
      <w:r>
        <w:t xml:space="preserve"> competency weights, versioned models — is built on an assumption of curatorial effort that the surrounding system does not reward. That is the classic over-engineering trap: maximum sophistication on the axis least likely to be fed real data.</w:t>
      </w:r>
    </w:p>
    <w:p>
      <w:r>
        <w:t>Reframed correctly, the question is not "is the competency framework complete?" but "</w:t>
      </w:r>
      <w:r>
        <w:rPr>
          <w:b/>
        </w:rPr>
        <w:t>what is the minimum framework that makes statutory compliance bulletproof, and how do we phase developmental competency so it earns its keep before it ossifies?</w:t>
      </w:r>
      <w:r>
        <w:t>" Concretely: ship Product 1 fully at launch (it is the statutory obligation and the source SoW's spine — service register, compliance). Ship Product 2's *skeleton* (taxonomy + skill self-declaration + simple critical/non-critical gap) and defer weighted scoring, marketplace, and AI recommendation until there is evidence the framework is being curated. The BRD already feature-flags marketplace/recommendations/LMS — extend that discipline to the *weighted competency model* itself.</w:t>
      </w:r>
    </w:p>
    <w:p>
      <w:r>
        <w:t xml:space="preserve">One more first-principles correction: weighted gap scoring presumes the organisation can defend, to an auditor or an aggrieved employee passed over for promotion, *why competency X carries weight 1.4 and Y carries 0.8*. In a public body that defensibility burden is high. Binary </w:t>
      </w:r>
      <w:r>
        <w:rPr>
          <w:rFonts w:ascii="Consolas" w:hAnsi="Consolas"/>
          <w:sz w:val="20"/>
        </w:rPr>
        <w:t>is_critical</w:t>
      </w:r>
      <w:r>
        <w:t xml:space="preserve"> is defensible; arbitrary decimal weights are an appeal waiting to happen. Simpler is not just cheaper here — it is more legally robust.</w:t>
      </w:r>
    </w:p>
    <w:p>
      <w:pPr>
        <w:pStyle w:val="Heading3"/>
      </w:pPr>
      <w:r>
        <w:rPr>
          <w:b/>
          <w:color w:val="2E5B9E"/>
          <w:sz w:val="26"/>
        </w:rPr>
        <w:t>Advisor D — The Outsider</w:t>
      </w:r>
    </w:p>
    <w:p>
      <w:r>
        <w:t>I am a smart non-specialist, and this document repeatedly assumes I am already inside the L&amp;D priesthood.</w:t>
      </w:r>
    </w:p>
    <w:p>
      <w:r>
        <w:rPr>
          <w:b/>
        </w:rPr>
        <w:t>Jargon without a runway.</w:t>
      </w:r>
      <w:r>
        <w:t xml:space="preserve"> "Kirkpatrick L1–L4," "SCORM 1.2/2004," "xAPI/Tin Can," "CPD," "cadre," "APAR," "maker-checker," "Kirkpatrick L4 results linkage." The glossary helps, but the *operational* meaning is missing where it matters most. What does an L&amp;D Officer actually *do* to capture "L3 behaviour change at T+90"? Email 200k managers a survey? The BRD treats L3/L4 as if data appears; in reality these are the levels every organisation abandons. State plainly that L3/L4 are *optional, sampled, programme-level* — or you are specifying a feature that ships empty and looks broken.</w:t>
      </w:r>
    </w:p>
    <w:p>
      <w:r>
        <w:rPr>
          <w:b/>
        </w:rPr>
        <w:t>Assumptions about who can even log in.</w:t>
      </w:r>
      <w:r>
        <w:t xml:space="preserve"> The whole e-learning/SSO/self-assessment/marketplace edifice assumes every employee has a </w:t>
      </w:r>
      <w:r>
        <w:rPr>
          <w:rFonts w:ascii="Consolas" w:hAnsi="Consolas"/>
          <w:sz w:val="20"/>
        </w:rPr>
        <w:t>users</w:t>
      </w:r>
      <w:r>
        <w:t xml:space="preserve"> principal, an SSO identity, a device, and the literacy to self-rate against an abstract "Awareness→Expert" descriptor. In a enterprise workforce that includes field staff, depots, and clerical cadres, a large fraction may have no individual login. Who self-assesses for them? Who launches their e-learning? The BRD has no "proxy/kiosk/assisted" mode and no offline attendance sync despite listing an "offline" UI state.</w:t>
      </w:r>
    </w:p>
    <w:p>
      <w:r>
        <w:rPr>
          <w:b/>
        </w:rPr>
        <w:t>Complexity the user will feel.</w:t>
      </w:r>
      <w:r>
        <w:t xml:space="preserve"> 28 entities, ~25 enums, polymorphic </w:t>
      </w:r>
      <w:r>
        <w:rPr>
          <w:rFonts w:ascii="Consolas" w:hAnsi="Consolas"/>
          <w:sz w:val="20"/>
        </w:rPr>
        <w:t>marked_by</w:t>
      </w:r>
      <w:r>
        <w:t>/</w:t>
      </w:r>
      <w:r>
        <w:rPr>
          <w:rFonts w:ascii="Consolas" w:hAnsi="Consolas"/>
          <w:sz w:val="20"/>
        </w:rPr>
        <w:t>assessed_by</w:t>
      </w:r>
      <w:r>
        <w:t xml:space="preserve"> pointing at *either* employees *or* trainers. An employee opening "My Skills &amp; Growth" faces a taxonomy, proficiency meters, a gap radar, recommendations, CPD totals, and a marketplace toggle — that is a dashboard designed by the people who built the data model, not for the clerk who has to use it. The cognitive load of self-assessing against descriptors like "Proficient vs Advanced" with no concrete behavioural anchor will produce noise, and that noise feeds promotion-adjacent analytics.</w:t>
      </w:r>
    </w:p>
    <w:p>
      <w:r>
        <w:rPr>
          <w:b/>
        </w:rPr>
        <w:t>Unexplained leaps.</w:t>
      </w:r>
      <w:r>
        <w:t xml:space="preserve"> "Significant trainings post to SR" — what makes a training "significant"? It is buried in Appendix D, not in the FR. "Trainer must have matching expertise (warning, not block)" — why even capture it then? "Banker's rounding, INR" appears once with no rule for who reconciles paise differences. These are the small ambiguities that become support tickets.</w:t>
      </w:r>
    </w:p>
    <w:p>
      <w:r>
        <w:t>The kindest thing I can say: the document is internally consistent and well-organised. The unkindest: it is written by experts, for experts, about a workforce that is not expert — and that gap is itself a project risk.</w:t>
      </w:r>
    </w:p>
    <w:p>
      <w:pPr>
        <w:pStyle w:val="Heading3"/>
      </w:pPr>
      <w:r>
        <w:rPr>
          <w:b/>
          <w:color w:val="2E5B9E"/>
          <w:sz w:val="26"/>
        </w:rPr>
        <w:t>Advisor E — The Executor</w:t>
      </w:r>
    </w:p>
    <w:p>
      <w:r>
        <w:t>Feasibility is mostly good; the sequencing is sane; but there are concrete blockers and a few data-model defects that will stop an agent cold.</w:t>
      </w:r>
    </w:p>
    <w:p>
      <w:r>
        <w:rPr>
          <w:b/>
        </w:rPr>
        <w:t>Hard blockers — undefined integration contracts.</w:t>
      </w:r>
      <w:r>
        <w:t xml:space="preserve"> Three "hard" dependencies are *named but not specified*: the M08 appraisal-development-gap feed schema, the M12 SR training-event schema/shape, and the M01 joiner-event payload. FR-004, FR-013, and FR-016 cannot be implemented past stubs without these contracts. "Degraded mode when M08 is down" is good, but you still need the *shape* of the data when it is up. Action: pin these three contracts before Wave 4/6, or those waves stall.</w:t>
      </w:r>
    </w:p>
    <w:p>
      <w:r>
        <w:rPr>
          <w:b/>
        </w:rPr>
        <w:t>Data-model defects (will fail validation):</w:t>
      </w:r>
    </w:p>
    <w:p>
      <w:pPr>
        <w:pStyle w:val="ListBullet"/>
      </w:pPr>
      <w:r>
        <w:rPr>
          <w:rFonts w:ascii="Consolas" w:hAnsi="Consolas"/>
          <w:sz w:val="20"/>
        </w:rPr>
        <w:t>competency_models.scope_type</w:t>
      </w:r>
      <w:r>
        <w:t xml:space="preserve"> allows </w:t>
      </w:r>
      <w:r>
        <w:rPr>
          <w:rFonts w:ascii="Consolas" w:hAnsi="Consolas"/>
          <w:sz w:val="20"/>
        </w:rPr>
        <w:t>ROLE</w:t>
      </w:r>
      <w:r>
        <w:t xml:space="preserve">, but the table has </w:t>
      </w:r>
      <w:r>
        <w:rPr>
          <w:rFonts w:ascii="Consolas" w:hAnsi="Consolas"/>
          <w:sz w:val="20"/>
        </w:rPr>
        <w:t>designation_id</w:t>
      </w:r>
      <w:r>
        <w:t xml:space="preserve">, </w:t>
      </w:r>
      <w:r>
        <w:rPr>
          <w:rFonts w:ascii="Consolas" w:hAnsi="Consolas"/>
          <w:sz w:val="20"/>
        </w:rPr>
        <w:t>cadre</w:t>
      </w:r>
      <w:r>
        <w:t xml:space="preserve">, </w:t>
      </w:r>
      <w:r>
        <w:rPr>
          <w:rFonts w:ascii="Consolas" w:hAnsi="Consolas"/>
          <w:sz w:val="20"/>
        </w:rPr>
        <w:t>org_unit_id</w:t>
      </w:r>
      <w:r>
        <w:t xml:space="preserve"> and </w:t>
      </w:r>
      <w:r>
        <w:rPr>
          <w:b/>
        </w:rPr>
        <w:t>no `role_id` column</w:t>
      </w:r>
      <w:r>
        <w:t xml:space="preserve">. AC FR-002.1 ("exactly one scope key matches the scope_type") is unsatisfiable for ROLE. Either add </w:t>
      </w:r>
      <w:r>
        <w:rPr>
          <w:rFonts w:ascii="Consolas" w:hAnsi="Consolas"/>
          <w:sz w:val="20"/>
        </w:rPr>
        <w:t>role_id</w:t>
      </w:r>
      <w:r>
        <w:t xml:space="preserve"> FK or drop ROLE from the enum.</w:t>
      </w:r>
    </w:p>
    <w:p>
      <w:pPr>
        <w:pStyle w:val="ListBullet"/>
      </w:pPr>
      <w:r>
        <w:t xml:space="preserve">Enum naming drift between layers: </w:t>
      </w:r>
      <w:r>
        <w:rPr>
          <w:rFonts w:ascii="Consolas" w:hAnsi="Consolas"/>
          <w:sz w:val="20"/>
        </w:rPr>
        <w:t>skill_gap_items.source</w:t>
      </w:r>
      <w:r>
        <w:t xml:space="preserve"> = {MODEL, APPRAISAL, MANDATE} vs </w:t>
      </w:r>
      <w:r>
        <w:rPr>
          <w:rFonts w:ascii="Consolas" w:hAnsi="Consolas"/>
          <w:sz w:val="20"/>
        </w:rPr>
        <w:t>training_needs.source</w:t>
      </w:r>
      <w:r>
        <w:t xml:space="preserve"> = {GAP_ANALYSIS, APPRAISAL, MANDATORY, …}. MODEL≠GAP_ANALYSIS, MANDATE≠MANDATORY. An agent wiring "convert gap item → need" will mis-map. Normalise.</w:t>
      </w:r>
    </w:p>
    <w:p>
      <w:pPr>
        <w:pStyle w:val="ListBullet"/>
      </w:pPr>
      <w:r>
        <w:t xml:space="preserve">Polymorphic FKs </w:t>
      </w:r>
      <w:r>
        <w:rPr>
          <w:rFonts w:ascii="Consolas" w:hAnsi="Consolas"/>
          <w:sz w:val="20"/>
        </w:rPr>
        <w:t>marked_by</w:t>
      </w:r>
      <w:r>
        <w:t>/</w:t>
      </w:r>
      <w:r>
        <w:rPr>
          <w:rFonts w:ascii="Consolas" w:hAnsi="Consolas"/>
          <w:sz w:val="20"/>
        </w:rPr>
        <w:t>assessed_by</w:t>
      </w:r>
      <w:r>
        <w:t xml:space="preserve"> → "employees/trainers" violate referential integrity (external trainers are not employees). Needs an </w:t>
      </w:r>
      <w:r>
        <w:rPr>
          <w:rFonts w:ascii="Consolas" w:hAnsi="Consolas"/>
          <w:sz w:val="20"/>
        </w:rPr>
        <w:t>actor_type</w:t>
      </w:r>
      <w:r>
        <w:t xml:space="preserve"> discriminator or a unified </w:t>
      </w:r>
      <w:r>
        <w:rPr>
          <w:rFonts w:ascii="Consolas" w:hAnsi="Consolas"/>
          <w:sz w:val="20"/>
        </w:rPr>
        <w:t>actors</w:t>
      </w:r>
      <w:r>
        <w:t xml:space="preserve"> view.</w:t>
      </w:r>
    </w:p>
    <w:p>
      <w:pPr>
        <w:pStyle w:val="ListBullet"/>
      </w:pPr>
      <w:r>
        <w:t xml:space="preserve">NFR inconsistency: Scalability says 200k employees; Performance says "gap-analysis batch for </w:t>
      </w:r>
      <w:r>
        <w:rPr>
          <w:b/>
        </w:rPr>
        <w:t>10k</w:t>
      </w:r>
      <w:r>
        <w:t xml:space="preserve"> employees &lt; 30 min." At 200k that is ~10 hours of batch — unacceptable for a nightly window. Restate the perf target at true scale or specify incremental/streaming recompute.</w:t>
      </w:r>
    </w:p>
    <w:p>
      <w:r>
        <w:rPr>
          <w:b/>
        </w:rPr>
        <w:t>Sequencing / Monday step.</w:t>
      </w:r>
      <w:r>
        <w:t xml:space="preserve"> The wave plan is reasonable, but the *highest-statutory-risk* path (mandatory compliance + SR posting) is split across Wave 1 (budget), Wave 6 (posting). Pull the statutory spine forward. Monday: (1) stand up masters FR-001 + program catalog FR-007; (2) implement the mandatory-compliance + certification + SR-posting thin slice end-to-end on a pilot department *before* building the competency/marketplace breadth. Prove the statutory loop, then scale features.</w:t>
      </w:r>
    </w:p>
    <w:p>
      <w:r>
        <w:rPr>
          <w:b/>
        </w:rPr>
        <w:t>Operational gaps that bite in delivery:</w:t>
      </w:r>
      <w:r>
        <w:t xml:space="preserve"> no campaign/bulk-nomination tooling (Advisor B's missed risk — I confirm it from a build view: there is no batch enroll API; </w:t>
      </w:r>
      <w:r>
        <w:rPr>
          <w:rFonts w:ascii="Consolas" w:hAnsi="Consolas"/>
          <w:sz w:val="20"/>
        </w:rPr>
        <w:t>POST /induction:enroll</w:t>
      </w:r>
      <w:r>
        <w:t xml:space="preserve"> is event-driven for joiners only); no external-trainer/vendor empanelment or procurement linkage (public-sector training procurement is a real workflow); no service-bond/sponsorship model for study-leave/deputation training (cost has TRAVEL/REIMBURSEMENT but no obligation tracking). These are not edge cases in enterprise — they are core.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*Each reviewer saw the five analyses unlabelled (A–E) and answered three questions.*</w:t>
      </w:r>
    </w:p>
    <w:p>
      <w:r>
        <w:rPr>
          <w:b/>
        </w:rPr>
        <w:t>Reviewer 1</w:t>
      </w:r>
    </w:p>
    <w:p>
      <w:pPr>
        <w:pStyle w:val="ListBullet"/>
      </w:pPr>
      <w:r>
        <w:t xml:space="preserve">*Strongest:* </w:t>
      </w:r>
      <w:r>
        <w:rPr>
          <w:b/>
        </w:rPr>
        <w:t>B (Contrarian).</w:t>
      </w:r>
      <w:r>
        <w:t xml:space="preserve"> The SCORM-webhook critique is a hard technical fact, not an opinion — it invalidates a drawn integration and is the kind of thing that fails in week one. Combined with the missed "mandatory-at-scale campaign" gap, B does the most to prevent a confident-but-broken launch.</w:t>
      </w:r>
    </w:p>
    <w:p>
      <w:pPr>
        <w:pStyle w:val="ListBullet"/>
      </w:pPr>
      <w:r>
        <w:t xml:space="preserve">*Biggest blind spot:* B asserts framework rot but offers no concrete control (no </w:t>
      </w:r>
      <w:r>
        <w:rPr>
          <w:rFonts w:ascii="Consolas" w:hAnsi="Consolas"/>
          <w:sz w:val="20"/>
        </w:rPr>
        <w:t>review_date</w:t>
      </w:r>
      <w:r>
        <w:t>, no staleness metric) — diagnosis without prescription.</w:t>
      </w:r>
    </w:p>
    <w:p>
      <w:pPr>
        <w:pStyle w:val="ListBullet"/>
      </w:pPr>
      <w:r>
        <w:t xml:space="preserve">*What all five under-weighted:* none of them costed the </w:t>
      </w:r>
      <w:r>
        <w:rPr>
          <w:b/>
        </w:rPr>
        <w:t>content-authoring and content-hosting</w:t>
      </w:r>
      <w:r>
        <w:t xml:space="preserve"> problem. SCORM packages and assessment item banks have to be *authored, versioned, and hosted* — there is no content/asset model at all.</w:t>
      </w:r>
    </w:p>
    <w:p>
      <w:r>
        <w:rPr>
          <w:b/>
        </w:rPr>
        <w:t>Reviewer 2</w:t>
      </w:r>
    </w:p>
    <w:p>
      <w:pPr>
        <w:pStyle w:val="ListBullet"/>
      </w:pPr>
      <w:r>
        <w:t xml:space="preserve">*Strongest:* </w:t>
      </w:r>
      <w:r>
        <w:rPr>
          <w:b/>
        </w:rPr>
        <w:t>C (First Principles).</w:t>
      </w:r>
      <w:r>
        <w:t xml:space="preserve"> The "two products fused" reframing is the most actionable single idea in the pack; it reorganises the whole roadmap and de-risks launch.</w:t>
      </w:r>
    </w:p>
    <w:p>
      <w:pPr>
        <w:pStyle w:val="ListBullet"/>
      </w:pPr>
      <w:r>
        <w:t>*Biggest blind spot:* C is cavalier about deferring the competency framework — M08/M06 *already consume* gap data per the BRD, so you cannot defer the gap primitive entirely without breaking sibling modules. The phasing needs a compatibility contract.</w:t>
      </w:r>
    </w:p>
    <w:p>
      <w:pPr>
        <w:pStyle w:val="ListBullet"/>
      </w:pPr>
      <w:r>
        <w:t xml:space="preserve">*What all five missed:* </w:t>
      </w:r>
      <w:r>
        <w:rPr>
          <w:b/>
        </w:rPr>
        <w:t>accessibility of assessment content</w:t>
      </w:r>
      <w:r>
        <w:t xml:space="preserve"> — WCAG is asserted for screens but pre/post tests and SCORM content are themselves user-facing and frequently inaccessible; no requirement covers them.</w:t>
      </w:r>
    </w:p>
    <w:p>
      <w:r>
        <w:rPr>
          <w:b/>
        </w:rPr>
        <w:t>Reviewer 3</w:t>
      </w:r>
    </w:p>
    <w:p>
      <w:pPr>
        <w:pStyle w:val="ListBullet"/>
      </w:pPr>
      <w:r>
        <w:t xml:space="preserve">*Strongest:* </w:t>
      </w:r>
      <w:r>
        <w:rPr>
          <w:b/>
        </w:rPr>
        <w:t>E (Executor).</w:t>
      </w:r>
      <w:r>
        <w:t xml:space="preserve"> It is the only analysis that found *falsifiable* defects (the missing </w:t>
      </w:r>
      <w:r>
        <w:rPr>
          <w:rFonts w:ascii="Consolas" w:hAnsi="Consolas"/>
          <w:sz w:val="20"/>
        </w:rPr>
        <w:t>role_id</w:t>
      </w:r>
      <w:r>
        <w:t>, the enum drift, the 10k-vs-200k NFR contradiction). Those are immediately fixable and unambiguous.</w:t>
      </w:r>
    </w:p>
    <w:p>
      <w:pPr>
        <w:pStyle w:val="ListBullet"/>
      </w:pPr>
      <w:r>
        <w:t>*Biggest blind spot:* E treats undefined cross-module contracts as a local fix; in reality M07 cannot unilaterally define the M12 SR event schema — that is an M12 negotiation and a programme-governance dependency, not a Wave-4 task.</w:t>
      </w:r>
    </w:p>
    <w:p>
      <w:pPr>
        <w:pStyle w:val="ListBullet"/>
      </w:pPr>
      <w:r>
        <w:t xml:space="preserve">*What all five missed:* </w:t>
      </w:r>
      <w:r>
        <w:rPr>
          <w:b/>
        </w:rPr>
        <w:t>data-subject rights at exit</w:t>
      </w:r>
      <w:r>
        <w:t xml:space="preserve"> — when an employee retires/resigns, what happens to self-assessed skills, anonymous feedback authorship, and marketplace presence? DPDP retention/erasure for *learning* PII is unaddressed.</w:t>
      </w:r>
    </w:p>
    <w:p>
      <w:r>
        <w:rPr>
          <w:b/>
        </w:rPr>
        <w:t>Reviewer 4</w:t>
      </w:r>
    </w:p>
    <w:p>
      <w:pPr>
        <w:pStyle w:val="ListBullet"/>
      </w:pPr>
      <w:r>
        <w:t xml:space="preserve">*Strongest:* </w:t>
      </w:r>
      <w:r>
        <w:rPr>
          <w:b/>
        </w:rPr>
        <w:t>D (Outsider).</w:t>
      </w:r>
      <w:r>
        <w:t xml:space="preserve"> It surfaced the population the spec forgets — non-login field/clerical staff — which is existential for enterprise coverage metrics. If 30% of staff can't log in, the 98% mandatory-completion KPI is unreachable by design.</w:t>
      </w:r>
    </w:p>
    <w:p>
      <w:pPr>
        <w:pStyle w:val="ListBullet"/>
      </w:pPr>
      <w:r>
        <w:t>*Biggest blind spot:* D under-credits how much the BRD *did* get right (idempotency, SoD, append-only); the tone risks dismissing a strong spec.</w:t>
      </w:r>
    </w:p>
    <w:p>
      <w:pPr>
        <w:pStyle w:val="ListBullet"/>
      </w:pPr>
      <w:r>
        <w:t xml:space="preserve">*What all five missed:* </w:t>
      </w:r>
      <w:r>
        <w:rPr>
          <w:b/>
        </w:rPr>
        <w:t>trainer/venue calendar at multi-tenant scale and timezone</w:t>
      </w:r>
      <w:r>
        <w:t xml:space="preserve"> — conflict detection is specified, but nothing addresses recurring slots, holidays calendars per state, or the fact that "RUNNING when start date reached" ignores multi-day partial attendance correction windows.</w:t>
      </w:r>
    </w:p>
    <w:p>
      <w:r>
        <w:rPr>
          <w:b/>
        </w:rPr>
        <w:t>Reviewer 5</w:t>
      </w:r>
    </w:p>
    <w:p>
      <w:pPr>
        <w:pStyle w:val="ListBullet"/>
      </w:pPr>
      <w:r>
        <w:t xml:space="preserve">*Strongest:* </w:t>
      </w:r>
      <w:r>
        <w:rPr>
          <w:b/>
        </w:rPr>
        <w:t>A (Proponent)</w:t>
      </w:r>
      <w:r>
        <w:t xml:space="preserve"> as ballast — it correctly anchors that this is a refine-not-rebuild situation and prevents the council from over-rotating into a teardown.</w:t>
      </w:r>
    </w:p>
    <w:p>
      <w:pPr>
        <w:pStyle w:val="ListBullet"/>
      </w:pPr>
      <w:r>
        <w:t>*Biggest blind spot:* A's optimism glosses the SCORM defect and the campaign gap, both of which are launch-blocking, not "refinements."</w:t>
      </w:r>
    </w:p>
    <w:p>
      <w:pPr>
        <w:pStyle w:val="ListBullet"/>
      </w:pPr>
      <w:r>
        <w:t xml:space="preserve">*What all five missed:* </w:t>
      </w:r>
      <w:r>
        <w:rPr>
          <w:b/>
        </w:rPr>
        <w:t>the budget dimension mismatch</w:t>
      </w:r>
      <w:r>
        <w:t xml:space="preserve"> — budgets are keyed by </w:t>
      </w:r>
      <w:r>
        <w:rPr>
          <w:rFonts w:ascii="Consolas" w:hAnsi="Consolas"/>
          <w:sz w:val="20"/>
        </w:rPr>
        <w:t>skill_category_id</w:t>
      </w:r>
      <w:r>
        <w:t xml:space="preserve">, plans/needs by </w:t>
      </w:r>
      <w:r>
        <w:rPr>
          <w:rFonts w:ascii="Consolas" w:hAnsi="Consolas"/>
          <w:sz w:val="20"/>
        </w:rPr>
        <w:t>competency_id</w:t>
      </w:r>
      <w:r>
        <w:t>, costs by session/nomination. Reconciliation across three different dimensions is asserted (§5.6 rule 7) but not mechanically defined; variance reporting will not tie out cleanly.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Agreements (high-confidence, cross-advisor)</w:t>
      </w:r>
    </w:p>
    <w:p>
      <w:pPr>
        <w:pStyle w:val="ListNumber"/>
      </w:pPr>
      <w:r>
        <w:t>The BRD is strong, internally consistent, and genuinely build-ready — refine, don't rebuild (A, all reviewers).</w:t>
      </w:r>
    </w:p>
    <w:p>
      <w:pPr>
        <w:pStyle w:val="ListNumber"/>
      </w:pPr>
      <w:r>
        <w:t>The SCORM/LMS integration as drawn is technically wrong and launch-blocking; needs an LRS/poll/content-hosting decision (B, E, R1, R5).</w:t>
      </w:r>
    </w:p>
    <w:p>
      <w:pPr>
        <w:pStyle w:val="ListNumber"/>
      </w:pPr>
      <w:r>
        <w:t>Mandatory-compliance at scale has no campaign/bulk-nomination engine — the single most important statutory workflow cannot run at volume (B, E confirmed).</w:t>
      </w:r>
    </w:p>
    <w:p>
      <w:pPr>
        <w:pStyle w:val="ListNumber"/>
      </w:pPr>
      <w:r>
        <w:t>Skill/competency data staleness is structurally unmanaged for non-compliance skills and for the models themselves (B, C).</w:t>
      </w:r>
    </w:p>
    <w:p>
      <w:pPr>
        <w:pStyle w:val="ListNumber"/>
      </w:pPr>
      <w:r>
        <w:t xml:space="preserve">Several concrete data-model defects exist (missing </w:t>
      </w:r>
      <w:r>
        <w:rPr>
          <w:rFonts w:ascii="Consolas" w:hAnsi="Consolas"/>
          <w:sz w:val="20"/>
        </w:rPr>
        <w:t>role_id</w:t>
      </w:r>
      <w:r>
        <w:t>, enum drift, polymorphic FKs, 10k-vs-200k NFR) (E, R3).</w:t>
      </w:r>
    </w:p>
    <w:p>
      <w:pPr>
        <w:pStyle w:val="ListNumber"/>
      </w:pPr>
      <w:r>
        <w:t>Cross-module integration contracts (M08 gap feed, M12 SR event, M01 joiner) are named but unspecified — a programme-governance dependency (E, R3).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Defer the competency framework (C) vs. siblings already consume it (R2).</w:t>
      </w:r>
      <w:r>
        <w:t xml:space="preserve"> Real tension: M06/M08 read gap data, so the *primitive* cannot be deferred even if the *sophistication* (weights, marketplace, AI) can.</w:t>
      </w:r>
    </w:p>
    <w:p>
      <w:pPr>
        <w:pStyle w:val="ListBullet"/>
      </w:pPr>
      <w:r>
        <w:rPr>
          <w:b/>
        </w:rPr>
        <w:t>"Refinement" (A) vs. "launch-blocking" (B/E).</w:t>
      </w:r>
      <w:r>
        <w:t xml:space="preserve"> The SCORM defect and campaign gap are not refinements; A under-weighted them.</w:t>
      </w:r>
    </w:p>
    <w:p>
      <w:pPr>
        <w:pStyle w:val="ListBullet"/>
      </w:pPr>
      <w:r>
        <w:rPr>
          <w:b/>
        </w:rPr>
        <w:t>Heavy weights are over-engineering (C) vs. world-class expectation (implicit A).</w:t>
      </w:r>
      <w:r>
        <w:t xml:space="preserve"> Decimal competency weights add legal-defensibility risk in a public body with limited curatorial capacity.</w:t>
      </w:r>
    </w:p>
    <w:p>
      <w:pPr>
        <w:pStyle w:val="Heading3"/>
      </w:pPr>
      <w:r>
        <w:rPr>
          <w:b/>
          <w:color w:val="2E5B9E"/>
          <w:sz w:val="26"/>
        </w:rPr>
        <w:t>3.3 Blind spots the whole council nearly missed (genuine)</w:t>
      </w:r>
    </w:p>
    <w:p>
      <w:pPr>
        <w:pStyle w:val="ListBullet"/>
      </w:pPr>
      <w:r>
        <w:rPr>
          <w:b/>
        </w:rPr>
        <w:t>No content/asset model.</w:t>
      </w:r>
      <w:r>
        <w:t xml:space="preserve"> SCORM packages, assessment item banks, course materials beyond a </w:t>
      </w:r>
      <w:r>
        <w:rPr>
          <w:rFonts w:ascii="Consolas" w:hAnsi="Consolas"/>
          <w:sz w:val="20"/>
        </w:rPr>
        <w:t>document_id</w:t>
      </w:r>
      <w:r>
        <w:t xml:space="preserve"> — no authoring, versioning, or hosting entity (R1).</w:t>
      </w:r>
    </w:p>
    <w:p>
      <w:pPr>
        <w:pStyle w:val="ListBullet"/>
      </w:pPr>
      <w:r>
        <w:rPr>
          <w:b/>
        </w:rPr>
        <w:t>Accessibility of *content* (tests, SCORM), not just screens</w:t>
      </w:r>
      <w:r>
        <w:t xml:space="preserve"> (R2).</w:t>
      </w:r>
    </w:p>
    <w:p>
      <w:pPr>
        <w:pStyle w:val="ListBullet"/>
      </w:pPr>
      <w:r>
        <w:rPr>
          <w:b/>
        </w:rPr>
        <w:t>DPDP at employee exit</w:t>
      </w:r>
      <w:r>
        <w:t xml:space="preserve"> — retention/erasure of learning PII, anonymous-feedback authorship, marketplace presence (R3).</w:t>
      </w:r>
    </w:p>
    <w:p>
      <w:pPr>
        <w:pStyle w:val="ListBullet"/>
      </w:pPr>
      <w:r>
        <w:rPr>
          <w:b/>
        </w:rPr>
        <w:t>Budget-dimension mismatch</w:t>
      </w:r>
      <w:r>
        <w:t xml:space="preserve"> — category vs competency vs session; reconciliation won't tie out (R5).</w:t>
      </w:r>
    </w:p>
    <w:p>
      <w:pPr>
        <w:pStyle w:val="ListBullet"/>
      </w:pPr>
      <w:r>
        <w:rPr>
          <w:b/>
        </w:rPr>
        <w:t>Non-login workforce</w:t>
      </w:r>
      <w:r>
        <w:t xml:space="preserve"> — proxy/kiosk/assisted capture; offline attendance sync (D, R4).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>The council moved from "is the framework complete?" to "</w:t>
      </w:r>
      <w:r>
        <w:rPr>
          <w:b/>
        </w:rPr>
        <w:t>is the statutory spine bulletproof and high-volume, and is the developmental layer phased so it earns trust before it ossifies?</w:t>
      </w:r>
      <w:r>
        <w:t>" The strongest synthesis is C's two-product split, *constrained* by R2's compatibility note: ship the gap *primitive* (binary critical/non-critical) at launch for sibling compatibility; phase weighted scoring, marketplace, and AI recommendation behind the existing feature flags and behind *evidence of curation*. Fix the SCORM model and add a campaign engine because those are the actual statutory job.</w:t>
      </w:r>
    </w:p>
    <w:p>
      <w:pPr>
        <w:pStyle w:val="Heading3"/>
      </w:pPr>
      <w:r>
        <w:rPr>
          <w:b/>
          <w:color w:val="2E5B9E"/>
          <w:sz w:val="26"/>
        </w:rPr>
        <w:t>3.5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SCORM "webhook" integration is architecturally impossible as drawn; LMS sync fails on first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Replace with explicit model: host content via LRS for xAPI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poll LMS reporting API for SCORM; add </w:t>
            </w:r>
            <w:r>
              <w:rPr>
                <w:rFonts w:ascii="Consolas" w:hAnsi="Consolas"/>
                <w:sz w:val="18"/>
              </w:rPr>
              <w:t>lms_content_package</w:t>
            </w:r>
            <w:r>
              <w:rPr>
                <w:sz w:val="18"/>
              </w:rPr>
              <w:t>/LRS entity; decide single-vs-multi-LMS; correct FR-015 + §10.4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campaign/bulk-nomination engine; annual mandatory training for ~200k cannot be orchestrated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FR + </w:t>
            </w:r>
            <w:r>
              <w:rPr>
                <w:rFonts w:ascii="Consolas" w:hAnsi="Consolas"/>
                <w:sz w:val="18"/>
              </w:rPr>
              <w:t>training_campaign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campaign_target</w:t>
            </w:r>
            <w:r>
              <w:rPr>
                <w:sz w:val="18"/>
              </w:rPr>
              <w:t xml:space="preserve"> entities: bulk nominate by org/cadre/designation, auto-wave into capacity-bounded sessions, rolling-renewal scheduler, escalation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Cross-module contracts (M08 gap feed, M12 SR event, M01 joiner) unspecified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E, 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Pin contract schemas with M08/M12/M01 owners before Waves 4/6; add to dependency register; treat as programme governance, not local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Competency-model "framework rot" — no review cadence/ownership/staleness alarm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review_due_date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and a staleness report; block FINALIZED gap analysis on models past review-due (warn)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Skill-data staleness for non-compliance skills counts toward gaps forever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last_validated_at</w:t>
            </w:r>
            <w:r>
              <w:rPr>
                <w:sz w:val="18"/>
              </w:rPr>
              <w:t xml:space="preserve"> + configurable </w:t>
            </w:r>
            <w:r>
              <w:rPr>
                <w:rFonts w:ascii="Consolas" w:hAnsi="Consolas"/>
                <w:sz w:val="18"/>
              </w:rPr>
              <w:t>revalidation_interval_months</w:t>
            </w:r>
            <w:r>
              <w:rPr>
                <w:sz w:val="18"/>
              </w:rPr>
              <w:t>; "stale" flag excludes/discounts skill from gap closure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Certification validity tracked but not enforced; no external/professional cert capture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renewal auto re-nomination; add FR for externally-acquired credentials with issuer + verification + SR posting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Data-model defects: missing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>, enum drift (MODEL/MANDATE vs GAP_ANALYSIS/MANDATORY), polymorphic FKs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E, 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 xml:space="preserve"> or drop ROLE; normalise source enums; add </w:t>
            </w:r>
            <w:r>
              <w:rPr>
                <w:rFonts w:ascii="Consolas" w:hAnsi="Consolas"/>
                <w:sz w:val="18"/>
              </w:rPr>
              <w:t>actor_type</w:t>
            </w:r>
            <w:r>
              <w:rPr>
                <w:sz w:val="18"/>
              </w:rPr>
              <w:t xml:space="preserve"> discriminator or </w:t>
            </w:r>
            <w:r>
              <w:rPr>
                <w:rFonts w:ascii="Consolas" w:hAnsi="Consolas"/>
                <w:sz w:val="18"/>
              </w:rPr>
              <w:t>actors</w:t>
            </w:r>
            <w:r>
              <w:rPr>
                <w:sz w:val="18"/>
              </w:rPr>
              <w:t xml:space="preserve"> 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NFR contradiction: 200k scale vs 10k gap-batch target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Restate perf at true scale; specify incremental/event-driven gap recompute, not full nightly batch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Non-login / field workforce cannot self-assess, launch e-learning, or be reached — KPIs unreachable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D, 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proxy/kiosk/assisted mode; offline attendance capture + sync; define coverage denominator excluding non-eligible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 ROI / Kirkpatrick L3–L4 asserted but not instrumented; ship empty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Reframe L3/L4 as optional, sampled, programme-level; link L4 to named M14 business KPIs; add cost-per-completion metric; drop fictional per-employee T+90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 competency weights create legal-defensibility risk in public body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to binary critical/non-critical at launch; make weighted scoring a feature-flagged Phase-2 capability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content/asset authoring-hosting-versioning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content/asset entity (item banks, SCORM packages, versions); or explicitly scope content hosting to external LMS with a stated contract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retention/erasure at employee exit for learning PII undefined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retention/erasure rules for self-assessments, anonymous-feedback authorship, marketplace presence on RETIRED/RESIGNED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Budget dimension mismatch (category vs competency vs session) — variance won't reconcile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one canonical reconciliation dimension; map plan/need/cost to budget key explicitly with a worked example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vendor/external-trainer empanelment or service-bond/sponsorship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trainer/vendor empanelment + procurement linkage; add study-leave/deputation sponsorship with service-obligation tracking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 &amp; assessment accessibility (WCAG) covers screens, not tests/SCORM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accessibility NFR to assessment content and hosted/authored e-learning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3.6 Focused second pass — the one fundamental clash</w:t>
      </w:r>
    </w:p>
    <w:p>
      <w:r>
        <w:rPr>
          <w:b/>
        </w:rPr>
        <w:t>Clash:</w:t>
      </w:r>
      <w:r>
        <w:t xml:space="preserve"> Defer the competency framework (C) vs. siblings already consume gap data (R2).</w:t>
      </w:r>
    </w:p>
    <w:p>
      <w:r>
        <w:rPr>
          <w:b/>
        </w:rPr>
        <w:t>Resolution.</w:t>
      </w:r>
      <w:r>
        <w:t xml:space="preserve"> These reconcile cleanly once you separate *primitive* from *sophistication*. M06/M08 need a stable </w:t>
      </w:r>
      <w:r>
        <w:rPr>
          <w:b/>
        </w:rPr>
        <w:t>gap primitive</w:t>
      </w:r>
      <w:r>
        <w:t xml:space="preserve">: "for employee E against model M, here are the competencies with a positive gap, each flagged critical or not." That contract must exist at launch. What M06/M08 do </w:t>
      </w:r>
      <w:r>
        <w:rPr>
          <w:b/>
        </w:rPr>
        <w:t>not</w:t>
      </w:r>
      <w:r>
        <w:t xml:space="preserve"> need is weighted decimal scoring, AI-generated learning paths, or a skills marketplace. Therefore:</w:t>
      </w:r>
    </w:p>
    <w:p>
      <w:pPr>
        <w:pStyle w:val="ListBullet"/>
      </w:pPr>
      <w:r>
        <w:rPr>
          <w:b/>
        </w:rPr>
        <w:t>Launch (non-negotiable, sibling-compatible):</w:t>
      </w:r>
      <w:r>
        <w:t xml:space="preserve"> taxonomy + skill self-declaration + manager validation + binary-critical gap analysis + the published gap contract M06/M08 consume.</w:t>
      </w:r>
    </w:p>
    <w:p>
      <w:pPr>
        <w:pStyle w:val="ListBullet"/>
      </w:pPr>
      <w:r>
        <w:rPr>
          <w:b/>
        </w:rPr>
        <w:t>Phase 2 (feature-flagged, gated on evidence of curation):</w:t>
      </w:r>
      <w:r>
        <w:t xml:space="preserve"> weighted scoring, recommendation engine, marketplace, CPD targets.</w:t>
      </w:r>
    </w:p>
    <w:p>
      <w:r>
        <w:t>This honours C's "don't over-build the unfed axis" *and* R2's "don't break the siblings." The gap contract becomes a first-class, versioned artefact — which also discharges Risk #3 for the M08 direction. No remaining fundamental clash.</w:t>
      </w:r>
    </w:p>
    <w:p>
      <w:pPr>
        <w:pStyle w:val="Heading3"/>
      </w:pPr>
      <w:r>
        <w:rPr>
          <w:b/>
          <w:color w:val="2E5B9E"/>
          <w:sz w:val="26"/>
        </w:rPr>
        <w:t>3.7 Recommendation</w:t>
      </w:r>
    </w:p>
    <w:p>
      <w:r>
        <w:rPr>
          <w:b/>
        </w:rPr>
        <w:t>APPROVE for build, conditional on v2 amendments.</w:t>
      </w:r>
      <w:r>
        <w:t xml:space="preserve"> This is a strong, refine-not-rebuild BRD. Two items are launch-blocking and must be fixed before the relevant waves start: the SCORM/LMS integration model (Risk #1) and the mandatory-compliance campaign engine (Risk #2). The data-model defects (Risk #7, #8) are cheap and must be fixed before code generation. Everything else is high-value hardening that can be staged.</w:t>
      </w:r>
    </w:p>
    <w:p>
      <w:pPr>
        <w:pStyle w:val="Heading3"/>
      </w:pPr>
      <w:r>
        <w:rPr>
          <w:b/>
          <w:color w:val="2E5B9E"/>
          <w:sz w:val="26"/>
        </w:rPr>
        <w:t>3.8 The One Thing To Do First</w:t>
      </w:r>
    </w:p>
    <w:p>
      <w:r>
        <w:rPr>
          <w:b/>
        </w:rPr>
        <w:t>Build and prove the statutory spine end-to-end on one pilot department before building breadth:</w:t>
      </w:r>
      <w:r>
        <w:t xml:space="preserve"> masters (FR-001) → program catalog (FR-007) → a </w:t>
      </w:r>
      <w:r>
        <w:rPr>
          <w:b/>
        </w:rPr>
        <w:t>campaign-based</w:t>
      </w:r>
      <w:r>
        <w:t xml:space="preserve"> mandatory-compliance enrolment → completion → certification → idempotent SR posting (FR-012/016), with the M12 SR-event contract pinned first. If that thin, high-volume, statutory loop works and reconciles in audit, the rest of the module is incremental. If it doesn't, no amount of competency-framework sophistication matters.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Replace the SCORM "webhook" model with a real integration architecture.</w:t>
      </w:r>
      <w:r>
        <w:t xml:space="preserve"> Add a </w:t>
      </w:r>
      <w:r>
        <w:rPr>
          <w:rFonts w:ascii="Consolas" w:hAnsi="Consolas"/>
          <w:sz w:val="20"/>
        </w:rPr>
        <w:t>learning_record_store</w:t>
      </w:r>
      <w:r>
        <w:t>/</w:t>
      </w:r>
      <w:r>
        <w:rPr>
          <w:rFonts w:ascii="Consolas" w:hAnsi="Consolas"/>
          <w:sz w:val="20"/>
        </w:rPr>
        <w:t>lms_content_package</w:t>
      </w:r>
      <w:r>
        <w:t xml:space="preserve"> entity; specify xAPI via an LRS *or* SCORM via LMS-reporting-API polling (not a server push); state the single-vs-multi-LMS decision and content-hosting ownership. Rewrite FR-015 acceptance criteria and the §10.4 webhook example accordingly.</w:t>
      </w:r>
    </w:p>
    <w:p>
      <w:pPr>
        <w:pStyle w:val="ListNumber"/>
      </w:pPr>
      <w:r>
        <w:rPr>
          <w:b/>
        </w:rPr>
        <w:t>Add a Mandatory-Compliance Campaign engine (new FR-TSD-017).</w:t>
      </w:r>
      <w:r>
        <w:t xml:space="preserve"> New entities </w:t>
      </w:r>
      <w:r>
        <w:rPr>
          <w:rFonts w:ascii="Consolas" w:hAnsi="Consolas"/>
          <w:sz w:val="20"/>
        </w:rPr>
        <w:t>training_campaign</w:t>
      </w:r>
      <w:r>
        <w:t xml:space="preserve"> and </w:t>
      </w:r>
      <w:r>
        <w:rPr>
          <w:rFonts w:ascii="Consolas" w:hAnsi="Consolas"/>
          <w:sz w:val="20"/>
        </w:rPr>
        <w:t>campaign_target</w:t>
      </w:r>
      <w:r>
        <w:t xml:space="preserve">; bulk-nominate by org-unit/cadre/designation; auto-wave participants into capacity-bounded sessions; rolling annual-renewal scheduler; campaign-level escalation and completion dashboard. Add </w:t>
      </w:r>
      <w:r>
        <w:rPr>
          <w:rFonts w:ascii="Consolas" w:hAnsi="Consolas"/>
          <w:sz w:val="20"/>
        </w:rPr>
        <w:t>POST /api/v1/training-campaigns</w:t>
      </w:r>
      <w:r>
        <w:t xml:space="preserve"> and </w:t>
      </w:r>
      <w:r>
        <w:rPr>
          <w:rFonts w:ascii="Consolas" w:hAnsi="Consolas"/>
          <w:sz w:val="20"/>
        </w:rPr>
        <w:t>:enroll-batch</w:t>
      </w:r>
      <w:r>
        <w:t>.</w:t>
      </w:r>
    </w:p>
    <w:p>
      <w:pPr>
        <w:pStyle w:val="ListNumber"/>
      </w:pPr>
      <w:r>
        <w:rPr>
          <w:b/>
        </w:rPr>
        <w:t>Fix `competency_models` ROLE scope.</w:t>
      </w:r>
      <w:r>
        <w:t xml:space="preserve"> Add a </w:t>
      </w:r>
      <w:r>
        <w:rPr>
          <w:rFonts w:ascii="Consolas" w:hAnsi="Consolas"/>
          <w:sz w:val="20"/>
        </w:rPr>
        <w:t>role_id UUID FK→roles</w:t>
      </w:r>
      <w:r>
        <w:t xml:space="preserve"> column, or remove </w:t>
      </w:r>
      <w:r>
        <w:rPr>
          <w:rFonts w:ascii="Consolas" w:hAnsi="Consolas"/>
          <w:sz w:val="20"/>
        </w:rPr>
        <w:t>ROLE</w:t>
      </w:r>
      <w:r>
        <w:t xml:space="preserve"> from </w:t>
      </w:r>
      <w:r>
        <w:rPr>
          <w:rFonts w:ascii="Consolas" w:hAnsi="Consolas"/>
          <w:sz w:val="20"/>
        </w:rPr>
        <w:t>scope_type</w:t>
      </w:r>
      <w:r>
        <w:t>. Make AC FR-002.1 satisfiable for every enum value.</w:t>
      </w:r>
    </w:p>
    <w:p>
      <w:pPr>
        <w:pStyle w:val="ListNumber"/>
      </w:pPr>
      <w:r>
        <w:rPr>
          <w:b/>
        </w:rPr>
        <w:t>Normalise source enums across layers.</w:t>
      </w:r>
      <w:r>
        <w:t xml:space="preserve"> Align </w:t>
      </w:r>
      <w:r>
        <w:rPr>
          <w:rFonts w:ascii="Consolas" w:hAnsi="Consolas"/>
          <w:sz w:val="20"/>
        </w:rPr>
        <w:t>skill_gap_items.source</w:t>
      </w:r>
      <w:r>
        <w:t xml:space="preserve"> with </w:t>
      </w:r>
      <w:r>
        <w:rPr>
          <w:rFonts w:ascii="Consolas" w:hAnsi="Consolas"/>
          <w:sz w:val="20"/>
        </w:rPr>
        <w:t>training_needs.source</w:t>
      </w:r>
      <w:r>
        <w:t xml:space="preserve"> (MODEL→GAP_ANALYSIS or vice-versa; MANDATE→MANDATORY) so gap-item→need conversion maps 1:1. Document the mapping table.</w:t>
      </w:r>
    </w:p>
    <w:p>
      <w:pPr>
        <w:pStyle w:val="ListNumber"/>
      </w:pPr>
      <w:r>
        <w:rPr>
          <w:b/>
        </w:rPr>
        <w:t>Eliminate polymorphic FKs.</w:t>
      </w:r>
      <w:r>
        <w:t xml:space="preserve"> Replace </w:t>
      </w:r>
      <w:r>
        <w:rPr>
          <w:rFonts w:ascii="Consolas" w:hAnsi="Consolas"/>
          <w:sz w:val="20"/>
        </w:rPr>
        <w:t>marked_by</w:t>
      </w:r>
      <w:r>
        <w:t>/</w:t>
      </w:r>
      <w:r>
        <w:rPr>
          <w:rFonts w:ascii="Consolas" w:hAnsi="Consolas"/>
          <w:sz w:val="20"/>
        </w:rPr>
        <w:t>assessed_by</w:t>
      </w:r>
      <w:r>
        <w:t xml:space="preserve"> "employees/trainers" with an </w:t>
      </w:r>
      <w:r>
        <w:rPr>
          <w:rFonts w:ascii="Consolas" w:hAnsi="Consolas"/>
          <w:sz w:val="20"/>
        </w:rPr>
        <w:t>actor_type</w:t>
      </w:r>
      <w:r>
        <w:t xml:space="preserve"> discriminator (EMPLOYEE|TRAINER) plus the matching id, or introduce a unified </w:t>
      </w:r>
      <w:r>
        <w:rPr>
          <w:rFonts w:ascii="Consolas" w:hAnsi="Consolas"/>
          <w:sz w:val="20"/>
        </w:rPr>
        <w:t>actors</w:t>
      </w:r>
      <w:r>
        <w:t xml:space="preserve"> reference view; restore referential integrity.</w:t>
      </w:r>
    </w:p>
    <w:p>
      <w:pPr>
        <w:pStyle w:val="ListNumber"/>
      </w:pPr>
      <w:r>
        <w:rPr>
          <w:b/>
        </w:rPr>
        <w:t>Restate performance NFR at true scale and switch to incremental gap recompute.</w:t>
      </w:r>
      <w:r>
        <w:t xml:space="preserve"> Replace "10k employees &lt; 30 min" with a 200k-scale target; specify event-driven/incremental gap recomputation on skill-change events instead of a full nightly batch.</w:t>
      </w:r>
    </w:p>
    <w:p>
      <w:pPr>
        <w:pStyle w:val="ListNumber"/>
      </w:pPr>
      <w:r>
        <w:rPr>
          <w:b/>
        </w:rPr>
        <w:t>Add non-compliance skill freshness.</w:t>
      </w:r>
      <w:r>
        <w:t xml:space="preserve"> New fields </w:t>
      </w:r>
      <w:r>
        <w:rPr>
          <w:rFonts w:ascii="Consolas" w:hAnsi="Consolas"/>
          <w:sz w:val="20"/>
        </w:rPr>
        <w:t>employee_skills.last_validated_at</w:t>
      </w:r>
      <w:r>
        <w:t xml:space="preserve"> and </w:t>
      </w:r>
      <w:r>
        <w:rPr>
          <w:rFonts w:ascii="Consolas" w:hAnsi="Consolas"/>
          <w:sz w:val="20"/>
        </w:rPr>
        <w:t>skills.revalidation_interval_months</w:t>
      </w:r>
      <w:r>
        <w:t>; a nightly "stale skill" flag; gap analysis discounts or excludes stale skills from gap closure with a configurable policy.</w:t>
      </w:r>
    </w:p>
    <w:p>
      <w:pPr>
        <w:pStyle w:val="ListNumber"/>
      </w:pPr>
      <w:r>
        <w:rPr>
          <w:b/>
        </w:rPr>
        <w:t>Add competency-model governance.</w:t>
      </w:r>
      <w:r>
        <w:t xml:space="preserve"> New fields </w:t>
      </w:r>
      <w:r>
        <w:rPr>
          <w:rFonts w:ascii="Consolas" w:hAnsi="Consolas"/>
          <w:sz w:val="20"/>
        </w:rPr>
        <w:t>competency_models.review_due_date</w:t>
      </w:r>
      <w:r>
        <w:t xml:space="preserve"> and </w:t>
      </w:r>
      <w:r>
        <w:rPr>
          <w:rFonts w:ascii="Consolas" w:hAnsi="Consolas"/>
          <w:sz w:val="20"/>
        </w:rPr>
        <w:t>owner_id</w:t>
      </w:r>
      <w:r>
        <w:t>; a staleness report; warn (not block) when FINALIZED gap analysis is computed against a model past its review-due date.</w:t>
      </w:r>
    </w:p>
    <w:p>
      <w:pPr>
        <w:pStyle w:val="ListNumber"/>
      </w:pPr>
      <w:r>
        <w:rPr>
          <w:b/>
        </w:rPr>
        <w:t>Publish a versioned Gap Contract for M06/M08.</w:t>
      </w:r>
      <w:r>
        <w:t xml:space="preserve"> Define the exact schema M06/M08 consume (employee, model, gap competencies, critical flag); register it as a first-class integration artefact; this is the launch-required gap primitive.</w:t>
      </w:r>
    </w:p>
    <w:p>
      <w:pPr>
        <w:pStyle w:val="ListNumber"/>
      </w:pPr>
      <w:r>
        <w:rPr>
          <w:b/>
        </w:rPr>
        <w:t>Phase the developmental layer behind evidence of curation.</w:t>
      </w:r>
      <w:r>
        <w:t xml:space="preserve"> Default gap scoring to </w:t>
      </w:r>
      <w:r>
        <w:rPr>
          <w:b/>
        </w:rPr>
        <w:t>binary critical/non-critical</w:t>
      </w:r>
      <w:r>
        <w:t xml:space="preserve"> at launch; move decimal </w:t>
      </w:r>
      <w:r>
        <w:rPr>
          <w:rFonts w:ascii="Consolas" w:hAnsi="Consolas"/>
          <w:sz w:val="20"/>
        </w:rPr>
        <w:t>weight</w:t>
      </w:r>
      <w:r>
        <w:t>-based scoring, the recommendation engine, and the skills marketplace to feature-flagged Phase 2 gated on framework-maintenance metrics. (Reduces legal-defensibility and over-engineering risk.)</w:t>
      </w:r>
    </w:p>
    <w:p>
      <w:pPr>
        <w:pStyle w:val="ListNumber"/>
      </w:pPr>
      <w:r>
        <w:rPr>
          <w:b/>
        </w:rPr>
        <w:t>Add external/professional certification capture (extend FR-TSD-012).</w:t>
      </w:r>
      <w:r>
        <w:t xml:space="preserve"> Allow employee/L&amp;D to record externally-acquired credentials (licence/PMP/CISA) with </w:t>
      </w:r>
      <w:r>
        <w:rPr>
          <w:rFonts w:ascii="Consolas" w:hAnsi="Consolas"/>
          <w:sz w:val="20"/>
        </w:rPr>
        <w:t>issuing_body</w:t>
      </w:r>
      <w:r>
        <w:t>, verification status, evidence document, and SR-posting eligibility independent of an internal program.</w:t>
      </w:r>
    </w:p>
    <w:p>
      <w:pPr>
        <w:pStyle w:val="ListNumber"/>
      </w:pPr>
      <w:r>
        <w:rPr>
          <w:b/>
        </w:rPr>
        <w:t>Enforce certification validity, don't just notify.</w:t>
      </w:r>
      <w:r>
        <w:t xml:space="preserve"> On expiry of a mandatory cert, auto-create a renewal training need + (campaign) re-nomination; expose a "lapsed-mandatory" flag consumable by sensitive-duty/posting checks (M06).</w:t>
      </w:r>
    </w:p>
    <w:p>
      <w:pPr>
        <w:pStyle w:val="ListNumber"/>
      </w:pPr>
      <w:r>
        <w:rPr>
          <w:b/>
        </w:rPr>
        <w:t>Reframe Kirkpatrick L3/L4 and instrument ROI.</w:t>
      </w:r>
      <w:r>
        <w:t xml:space="preserve"> Mark L3/L4 as optional, sampled, programme-level (not per-employee T+90); link L4 </w:t>
      </w:r>
      <w:r>
        <w:rPr>
          <w:rFonts w:ascii="Consolas" w:hAnsi="Consolas"/>
          <w:sz w:val="20"/>
        </w:rPr>
        <w:t>responses_json</w:t>
      </w:r>
      <w:r>
        <w:t xml:space="preserve"> to named M14 business KPIs; add a </w:t>
      </w:r>
      <w:r>
        <w:rPr>
          <w:rFonts w:ascii="Consolas" w:hAnsi="Consolas"/>
          <w:sz w:val="20"/>
        </w:rPr>
        <w:t>cost_per_completion</w:t>
      </w:r>
      <w:r>
        <w:t xml:space="preserve"> / cost-per-outcome metric to the budget/analytics layer.</w:t>
      </w:r>
    </w:p>
    <w:p>
      <w:pPr>
        <w:pStyle w:val="ListNumber"/>
      </w:pPr>
      <w:r>
        <w:rPr>
          <w:b/>
        </w:rPr>
        <w:t>Pin the M12 SR-event and M01 joiner-event contracts.</w:t>
      </w:r>
      <w:r>
        <w:t xml:space="preserve"> Add concrete event schemas to the dependency register and the integration table (§10.5) before Waves 4/6; do not leave "significant training" SR shape undefined.</w:t>
      </w:r>
    </w:p>
    <w:p>
      <w:pPr>
        <w:pStyle w:val="ListNumber"/>
      </w:pPr>
      <w:r>
        <w:rPr>
          <w:b/>
        </w:rPr>
        <w:t>Promote the "significant training" definition into the FR.</w:t>
      </w:r>
      <w:r>
        <w:t xml:space="preserve"> Move Appendix D criteria into FR-TSD-016 as an explicit, configurable rule set with </w:t>
      </w:r>
      <w:r>
        <w:rPr>
          <w:rFonts w:ascii="Consolas" w:hAnsi="Consolas"/>
          <w:sz w:val="20"/>
        </w:rPr>
        <w:t>is_significant</w:t>
      </w:r>
      <w:r>
        <w:t xml:space="preserve"> resolution logic; make it auditable.</w:t>
      </w:r>
    </w:p>
    <w:p>
      <w:pPr>
        <w:pStyle w:val="ListNumber"/>
      </w:pPr>
      <w:r>
        <w:rPr>
          <w:b/>
        </w:rPr>
        <w:t>Add proxy / kiosk / assisted mode and offline attendance sync.</w:t>
      </w:r>
      <w:r>
        <w:t xml:space="preserve"> Support skill-assessment, e-learning launch, and attendance capture for non-login field/clerical staff; define offline attendance buffering and sync; define the compliance-coverage denominator (who is in-scope vs exempt).</w:t>
      </w:r>
    </w:p>
    <w:p>
      <w:pPr>
        <w:pStyle w:val="ListNumber"/>
      </w:pPr>
      <w:r>
        <w:rPr>
          <w:b/>
        </w:rPr>
        <w:t>Add a content &amp; assessment-item model.</w:t>
      </w:r>
      <w:r>
        <w:t xml:space="preserve"> Entity for item banks, SCORM/xAPI package versions, and course assets with versioning and accessibility metadata — or explicitly delegate content hosting to the external LMS with a documented contract.</w:t>
      </w:r>
    </w:p>
    <w:p>
      <w:pPr>
        <w:pStyle w:val="ListNumber"/>
      </w:pPr>
      <w:r>
        <w:rPr>
          <w:b/>
        </w:rPr>
        <w:t>Resolve the budget-dimension mismatch.</w:t>
      </w:r>
      <w:r>
        <w:t xml:space="preserve"> Choose one canonical reconciliation key (recommend org-unit + FY, with category/competency as reporting dimensions only); add a worked reconciliation example to §5.6 rule 7 so variance reports tie out.</w:t>
      </w:r>
    </w:p>
    <w:p>
      <w:pPr>
        <w:pStyle w:val="ListNumber"/>
      </w:pPr>
      <w:r>
        <w:rPr>
          <w:b/>
        </w:rPr>
        <w:t>Add vendor/external-trainer empanelment and procurement linkage.</w:t>
      </w:r>
      <w:r>
        <w:t xml:space="preserve"> Capture empanelment status, contract reference, and procurement approval for external providers; tie external </w:t>
      </w:r>
      <w:r>
        <w:rPr>
          <w:rFonts w:ascii="Consolas" w:hAnsi="Consolas"/>
          <w:sz w:val="20"/>
        </w:rPr>
        <w:t>training_costs</w:t>
      </w:r>
      <w:r>
        <w:t xml:space="preserve"> to an empanelled vendor.</w:t>
      </w:r>
    </w:p>
    <w:p>
      <w:pPr>
        <w:pStyle w:val="ListNumber"/>
      </w:pPr>
      <w:r>
        <w:rPr>
          <w:b/>
        </w:rPr>
        <w:t>Add sponsorship / study-leave / deputation with service-obligation tracking.</w:t>
      </w:r>
      <w:r>
        <w:t xml:space="preserve"> Model long-duration sponsored training (degrees, deputation) with sponsorship cost, service-bond duration, and obligation-breach handling; link reimbursement to the bond — a core public-sector requirement.</w:t>
      </w:r>
    </w:p>
    <w:p>
      <w:pPr>
        <w:pStyle w:val="ListNumber"/>
      </w:pPr>
      <w:r>
        <w:rPr>
          <w:b/>
        </w:rPr>
        <w:t>Add DPDP retention/erasure for learning PII at exit.</w:t>
      </w:r>
      <w:r>
        <w:t xml:space="preserve"> Define what happens to self-assessments, anonymous-feedback authorship, marketplace presence, and skill inventory when an employee becomes RETIRED/RESIGNED/TERMINATED; honour statutory-retention overrides for SR-posted records.</w:t>
      </w:r>
    </w:p>
    <w:p>
      <w:pPr>
        <w:pStyle w:val="ListNumber"/>
      </w:pPr>
      <w:r>
        <w:rPr>
          <w:b/>
        </w:rPr>
        <w:t>Add behavioural anchors to proficiency levels and self-assessment guidance.</w:t>
      </w:r>
      <w:r>
        <w:t xml:space="preserve"> Require concrete descriptors per </w:t>
      </w:r>
      <w:r>
        <w:rPr>
          <w:rFonts w:ascii="Consolas" w:hAnsi="Consolas"/>
          <w:sz w:val="20"/>
        </w:rPr>
        <w:t>proficiency_levels.descriptor</w:t>
      </w:r>
      <w:r>
        <w:t xml:space="preserve"> and per competency so self-assessment produces signal, not noise; add inline help in the "My Skills" UI.</w:t>
      </w:r>
    </w:p>
    <w:p>
      <w:pPr>
        <w:pStyle w:val="ListNumber"/>
      </w:pPr>
      <w:r>
        <w:rPr>
          <w:b/>
        </w:rPr>
        <w:t>Extend accessibility NFR to content.</w:t>
      </w:r>
      <w:r>
        <w:t xml:space="preserve"> State that pre/post assessments and hosted/authored e-learning content meet WCAG 2.1 AA, not only the application screens.</w:t>
      </w:r>
    </w:p>
    <w:p>
      <w:pPr>
        <w:pStyle w:val="ListNumber"/>
      </w:pPr>
      <w:r>
        <w:rPr>
          <w:b/>
        </w:rPr>
        <w:t>Add explicit waitlist position and fairness audit.</w:t>
      </w:r>
      <w:r>
        <w:t xml:space="preserve"> Persist waitlist position (not only </w:t>
      </w:r>
      <w:r>
        <w:rPr>
          <w:rFonts w:ascii="Consolas" w:hAnsi="Consolas"/>
          <w:sz w:val="20"/>
        </w:rPr>
        <w:t>waitlist_count</w:t>
      </w:r>
      <w:r>
        <w:t xml:space="preserve">); log FIFO promotion decisions to </w:t>
      </w:r>
      <w:r>
        <w:rPr>
          <w:rFonts w:ascii="Consolas" w:hAnsi="Consolas"/>
          <w:sz w:val="20"/>
        </w:rPr>
        <w:t>audit_log</w:t>
      </w:r>
      <w:r>
        <w:t xml:space="preserve"> so seat allocation in over-subscribed mandatory sessions is auditable.</w:t>
      </w:r>
    </w:p>
    <w:p>
      <w:pPr>
        <w:pStyle w:val="ListNumber"/>
      </w:pPr>
      <w:r>
        <w:rPr>
          <w:b/>
        </w:rPr>
        <w:t>Resequence the build plan around the statutory spine.</w:t>
      </w:r>
      <w:r>
        <w:t xml:space="preserve"> Reorder waves so mandatory-compliance + certification + SR posting (pilot department, campaign-based) is the first end-to-end slice proven, ahead of competency-model breadth, marketplace, and 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M07 training skill development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