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M11 retirement and pension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Module M11-PEN — Retirement and Pension Management BRD (v1.0)</w:t>
      </w:r>
    </w:p>
    <w:p>
      <w:r>
        <w:rPr>
          <w:b/>
        </w:rPr>
        <w:t>Artefact under review:</w:t>
      </w:r>
      <w:r>
        <w:t xml:space="preserve"> </w:t>
      </w:r>
      <w:r>
        <w:rPr>
          <w:rFonts w:ascii="Consolas" w:hAnsi="Consolas"/>
          <w:sz w:val="20"/>
        </w:rPr>
        <w:t>/Users/n15318/hrms/docs/brd/v1/M11-retirement-and-pension.md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Retirement and Pension Management BRD complete, correct, and world-class (separation types, qualifying-service computation, pension/commutation/gratuity/family-pension calc, PPO, OPS vs NPS, pensioner lifecycle incl. life certificate, treasury integration) for a leading global organisation's HRMS with public-sector statutory needs? What is missing, wrong, risky, over-engineered, or below best-in-class — and what concrete changes make it bulletproof?</w:t>
      </w:r>
    </w:p>
    <w:p>
      <w:r>
        <w:rPr>
          <w:b/>
        </w:rPr>
        <w:t>Council date:</w:t>
      </w:r>
      <w:r>
        <w:t xml:space="preserve"> 2026-06-30</w:t>
      </w:r>
    </w:p>
    <w:p>
      <w:r>
        <w:rPr>
          <w:b/>
        </w:rPr>
        <w:t>Method:</w:t>
      </w:r>
      <w:r>
        <w:t xml:space="preserve"> 5 independent advisors → anonymous peer review → chairman synthesis → focused second pass on the fundamental clash.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>This is, frankly, the strongest module BRD in the suite, and it is close to best-in-class on the dimensions that matter most for pension. Three design decisions deserve explicit praise.</w:t>
      </w:r>
    </w:p>
    <w:p>
      <w:r>
        <w:rPr>
          <w:b/>
        </w:rPr>
        <w:t>First, the determinism-plus-trace-plus-rule-version triad.</w:t>
      </w:r>
      <w:r>
        <w:t xml:space="preserve"> Every benefit engine is framed as a pure function of (verified service, emoluments snapshot, scheme, effective-dated rule tables, beneficiary data), with a persisted </w:t>
      </w:r>
      <w:r>
        <w:rPr>
          <w:rFonts w:ascii="Consolas" w:hAnsi="Consolas"/>
          <w:sz w:val="20"/>
        </w:rPr>
        <w:t>calc_trace</w:t>
      </w:r>
      <w:r>
        <w:t xml:space="preserve"> JSONB and a </w:t>
      </w:r>
      <w:r>
        <w:rPr>
          <w:rFonts w:ascii="Consolas" w:hAnsi="Consolas"/>
          <w:sz w:val="20"/>
        </w:rPr>
        <w:t>rule_version_ref</w:t>
      </w:r>
      <w:r>
        <w:t>. This is exactly how Workday and Oracle HCM defend benefit math against audit objection: you can re-derive any rupee years later against the rules that were in force. The immutability-by-supersession policy (Appendix 16.4 — SANCTIONED calc, ISSUED/ACTIVE PPO, APPLIED revision are append-only; corrections create linked revisions) is the correct audit-grade pattern and is rare to see specified this cleanly.</w:t>
      </w:r>
    </w:p>
    <w:p>
      <w:r>
        <w:rPr>
          <w:b/>
        </w:rPr>
        <w:t>Second, the no-break continuity engineering.</w:t>
      </w:r>
      <w:r>
        <w:t xml:space="preserve"> G1 ("first pension authorised on/before the day after retirement for 100% of cases") backed by anticipatory pension (FR-03), a 1–2-year lead pipeline (FR-01 forecasting → FR-03 pre-retirement), and a first-pension disbursement instruction timed to commencement (FR-14 AC4) is a genuine operational design, not a slogan. Public-sector pensioners suffer most from the gap between retirement and first pension; this BRD attacks it structurally.</w:t>
      </w:r>
    </w:p>
    <w:p>
      <w:r>
        <w:rPr>
          <w:b/>
        </w:rPr>
        <w:t>Third, lifecycle completeness.</w:t>
      </w:r>
      <w:r>
        <w:t xml:space="preserve"> All six separation types, family-pension conversion on pensioner death (IR8), LC/Jeevan Pramaan with mandatory physical/video-KYC fallback, restoration of the commuted portion on schedule, and a grievance loop that auto-creates from disbursement failures (FR-16 AC3) — this is a full cradle-to-grave-and-beyond model. The SoD discipline (maker ≠ checker on sanction *and* PPO authorisation, SysAdmin barred from sanctioning cases they touch) is enforced at IR and state-guard level, not just asserted.</w:t>
      </w:r>
    </w:p>
    <w:p>
      <w:r>
        <w:t>The data model is coherent (21 owned entities, clean ownership/reuse matrix, 13 integrity rules, sample rows for every key entity), the error catalog is specific (</w:t>
      </w:r>
      <w:r>
        <w:rPr>
          <w:rFonts w:ascii="Consolas" w:hAnsi="Consolas"/>
          <w:sz w:val="20"/>
        </w:rPr>
        <w:t>COMMUTATION_EXCEEDS_LIMIT</w:t>
      </w:r>
      <w:r>
        <w:t xml:space="preserve">, </w:t>
      </w:r>
      <w:r>
        <w:rPr>
          <w:rFonts w:ascii="Consolas" w:hAnsi="Consolas"/>
          <w:sz w:val="20"/>
        </w:rPr>
        <w:t>RECOVERY_EXCEEDS_PROTECTION</w:t>
      </w:r>
      <w:r>
        <w:t xml:space="preserve">, </w:t>
      </w:r>
      <w:r>
        <w:rPr>
          <w:rFonts w:ascii="Consolas" w:hAnsi="Consolas"/>
          <w:sz w:val="20"/>
        </w:rPr>
        <w:t>SCHEME_MISMATCH</w:t>
      </w:r>
      <w:r>
        <w:t>), and the migration section actually plans a parallel DA-revision tie-out. This is buildable today. My fear is not that the team builds the wrong thing — it is that two or three statutory specifics (below) are quietly wrong and will produce confidently-wrong numbers.</w:t>
      </w:r>
    </w:p>
    <w:p>
      <w:pPr>
        <w:pStyle w:val="Heading3"/>
      </w:pPr>
      <w:r>
        <w:rPr>
          <w:b/>
          <w:color w:val="2E5B9E"/>
          <w:sz w:val="26"/>
        </w:rPr>
        <w:t>Advisor 2 — The Contrarian (non-obvious failure modes)</w:t>
      </w:r>
    </w:p>
    <w:p>
      <w:r>
        <w:t>The BRD's greatest danger is that it is *deterministic and traceable* — which means it will compute wrong answers with total confidence and a beautiful audit trail. Here are the failure modes the author under-weighted.</w:t>
      </w:r>
    </w:p>
    <w:p>
      <w:r>
        <w:rPr>
          <w:b/>
        </w:rPr>
        <w:t>1. The enhanced-family-pension window is conflated and will miscalculate (correctness bug, not a gap).</w:t>
      </w:r>
      <w:r>
        <w:t xml:space="preserve"> FR-08's description and </w:t>
      </w:r>
      <w:r>
        <w:rPr>
          <w:rFonts w:ascii="Consolas" w:hAnsi="Consolas"/>
          <w:sz w:val="20"/>
        </w:rPr>
        <w:t>enhanced_to</w:t>
      </w:r>
      <w:r>
        <w:t xml:space="preserve"> note ("7 yrs / age-67 rule") apply *one* window to *both* paths. Statutorily these differ: death </w:t>
      </w:r>
      <w:r>
        <w:rPr>
          <w:b/>
        </w:rPr>
        <w:t>in service</w:t>
      </w:r>
      <w:r>
        <w:t xml:space="preserve"> → enhanced rate for </w:t>
      </w:r>
      <w:r>
        <w:rPr>
          <w:b/>
        </w:rPr>
        <w:t>10 years</w:t>
      </w:r>
      <w:r>
        <w:t xml:space="preserve"> with </w:t>
      </w:r>
      <w:r>
        <w:rPr>
          <w:b/>
        </w:rPr>
        <w:t>no</w:t>
      </w:r>
      <w:r>
        <w:t xml:space="preserve"> age cap (post-2013 CCS amendment); death </w:t>
      </w:r>
      <w:r>
        <w:rPr>
          <w:b/>
        </w:rPr>
        <w:t>after retirement</w:t>
      </w:r>
      <w:r>
        <w:t xml:space="preserve"> → enhanced for </w:t>
      </w:r>
      <w:r>
        <w:rPr>
          <w:b/>
        </w:rPr>
        <w:t>7 years or up to age 67/the date the deceased would have superannuated, whichever earlier</w:t>
      </w:r>
      <w:r>
        <w:t xml:space="preserve">. The model has a single </w:t>
      </w:r>
      <w:r>
        <w:rPr>
          <w:rFonts w:ascii="Consolas" w:hAnsi="Consolas"/>
          <w:sz w:val="20"/>
        </w:rPr>
        <w:t>enhanced_to</w:t>
      </w:r>
      <w:r>
        <w:t xml:space="preserve"> with a single rule. Result: every death-in-service family pension steps down too early — systematic underpayment to bereaved families, the single most litigated and politically toxic error class.</w:t>
      </w:r>
    </w:p>
    <w:p>
      <w:r>
        <w:rPr>
          <w:b/>
        </w:rPr>
        <w:t>2. Proportionate pension for short service is an obsolete formula.</w:t>
      </w:r>
      <w:r>
        <w:t xml:space="preserve"> FR-05 AC1 and </w:t>
      </w:r>
      <w:r>
        <w:rPr>
          <w:rFonts w:ascii="Consolas" w:hAnsi="Consolas"/>
          <w:sz w:val="20"/>
        </w:rPr>
        <w:t>pension_fraction</w:t>
      </w:r>
      <w:r>
        <w:t xml:space="preserve"> ("proportionate below the threshold") encode the pre-2006 model. Under current CCS Pension Rules, ≥10 years qualifying = a flat 50% of emoluments (no proportionate reduction); &lt;10 years = </w:t>
      </w:r>
      <w:r>
        <w:rPr>
          <w:b/>
        </w:rPr>
        <w:t>no pension at all, only a one-time service gratuity</w:t>
      </w:r>
      <w:r>
        <w:t xml:space="preserve">. The BRD has no </w:t>
      </w:r>
      <w:r>
        <w:rPr>
          <w:rFonts w:ascii="Consolas" w:hAnsi="Consolas"/>
          <w:sz w:val="20"/>
        </w:rPr>
        <w:t>SERVICE_GRATUITY</w:t>
      </w:r>
      <w:r>
        <w:t xml:space="preserve"> type (gratuity_type is only RETIREMENT/DEATH). So an employee with 8 years' service is either wrongly given a proportionate pension or falls through a hole. This is a missed benefit *type*, not just a parameter.</w:t>
      </w:r>
    </w:p>
    <w:p>
      <w:r>
        <w:rPr>
          <w:b/>
        </w:rPr>
        <w:t>3. NPS is treated as a hollow DC scheme — but enterprise NPS is not.</w:t>
      </w:r>
      <w:r>
        <w:t xml:space="preserve"> FR-05 says M11 "does not compute a defined-benefit pension" for NPS and emits only indicative annuity/lump-sum. This ignores (a) </w:t>
      </w:r>
      <w:r>
        <w:rPr>
          <w:b/>
        </w:rPr>
        <w:t>CCS (Implementation of NPS) Rules 2021</w:t>
      </w:r>
      <w:r>
        <w:t xml:space="preserve">, under which a enterprise NPS employee's family on death-in-service or on invalidation is entitled to a *default* benefit equivalent to OPS family/invalid pension; and (b) the </w:t>
      </w:r>
      <w:r>
        <w:rPr>
          <w:b/>
        </w:rPr>
        <w:t>Unified Pension Scheme (UPS), effective 01-Apr-2025</w:t>
      </w:r>
      <w:r>
        <w:t xml:space="preserve">, giving opted-in NPS employees an assured payout (≈50% of last-12-month average pay). A 2026 enterprise BRD that has no UPS and no NPS-death-default benefit will misroute and under-serve a growing cohort. </w:t>
      </w:r>
      <w:r>
        <w:rPr>
          <w:rFonts w:ascii="Consolas" w:hAnsi="Consolas"/>
          <w:sz w:val="20"/>
        </w:rPr>
        <w:t>pension_scheme</w:t>
      </w:r>
      <w:r>
        <w:t xml:space="preserve"> ENUM (OPS, NPS) literally cannot represent UPS.</w:t>
      </w:r>
    </w:p>
    <w:p>
      <w:r>
        <w:rPr>
          <w:b/>
        </w:rPr>
        <w:t>4. Pensioner-death fraud has no proactive control.</w:t>
      </w:r>
      <w:r>
        <w:t xml:space="preserve"> LC suspension (IR10) is *passive* — it catches a missing certificate a year late, by which time 6–12 months of pension may have been drawn into a deceased pensioner's account by family. There is no death-registry / Aadhaar-DBT reconciliation, no dormancy/anomaly detection, no structured </w:t>
      </w:r>
      <w:r>
        <w:rPr>
          <w:b/>
        </w:rPr>
        <w:t>overpayment-recovery-from-estate</w:t>
      </w:r>
      <w:r>
        <w:t xml:space="preserve"> entity. The "death reported late" edge case in FR-12 has no home in the data model.</w:t>
      </w:r>
    </w:p>
    <w:p>
      <w:r>
        <w:rPr>
          <w:b/>
        </w:rPr>
        <w:t>5. Commuted-value reduction timing is unstated.</w:t>
      </w:r>
      <w:r>
        <w:t xml:space="preserve"> Pension is reduced from the </w:t>
      </w:r>
      <w:r>
        <w:rPr>
          <w:b/>
        </w:rPr>
        <w:t>date of receipt of commuted value</w:t>
      </w:r>
      <w:r>
        <w:t xml:space="preserve">, and restoration is 15 years from *that* date — not the retirement date. </w:t>
      </w:r>
      <w:r>
        <w:rPr>
          <w:rFonts w:ascii="Consolas" w:hAnsi="Consolas"/>
          <w:sz w:val="20"/>
        </w:rPr>
        <w:t>restoration_due_date</w:t>
      </w:r>
      <w:r>
        <w:t xml:space="preserve"> is computed from "commutation date," but commutation date vs reduction date vs retirement date are not disambiguated. Migrated pensioners with unknown commutation dates will restore on the wrong day.</w:t>
      </w:r>
    </w:p>
    <w:p>
      <w:r>
        <w:rPr>
          <w:b/>
        </w:rPr>
        <w:t>The risk the author missed entirely:</w:t>
      </w:r>
      <w:r>
        <w:t xml:space="preserve"> </w:t>
      </w:r>
      <w:r>
        <w:rPr>
          <w:b/>
        </w:rPr>
        <w:t>family-pension eligibility is determined by a rule-defined *family*, not by *nomination*.</w:t>
      </w:r>
      <w:r>
        <w:t xml:space="preserve"> The BRD routes FAMILY_PENSION through </w:t>
      </w:r>
      <w:r>
        <w:rPr>
          <w:rFonts w:ascii="Consolas" w:hAnsi="Consolas"/>
          <w:sz w:val="20"/>
        </w:rPr>
        <w:t>nominees_beneficiaries</w:t>
      </w:r>
      <w:r>
        <w:t xml:space="preserve"> (benefit_scope = FAMILY_PENSION). A nominee for gratuity/GPF is a freely chosen person; the family-pension recipient is the statutorily-ranked spouse/child/parent — you cannot nominate your pension away. Conflating these will produce illegal family-pension payments to nominated non-family persons and miss eligible family members who were never "nominated." This needs a separate </w:t>
      </w:r>
      <w:r>
        <w:rPr>
          <w:rFonts w:ascii="Consolas" w:hAnsi="Consolas"/>
          <w:sz w:val="20"/>
        </w:rPr>
        <w:t>family_members</w:t>
      </w:r>
      <w:r>
        <w:t xml:space="preserve"> register (Form 3/Form 14).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this module to its load-bearing assumption and everything rests on one beam: </w:t>
      </w:r>
      <w:r>
        <w:rPr>
          <w:b/>
        </w:rPr>
        <w:t>the input service history is complete and correct.</w:t>
      </w:r>
      <w:r>
        <w:t xml:space="preserve"> The BRD even says it (Exec Summary: benefits are "derived from verified service history in M12 … leave balances from M03 … evaluated against versioned rule tables"). The entire value proposition — determinism, reproducibility, no-break, audit-defence — is *conditional* on that beam holding.</w:t>
      </w:r>
    </w:p>
    <w:p>
      <w:r>
        <w:t>It will not hold, and the BRD treats the failure as an edge case rather than the central problem.</w:t>
      </w:r>
    </w:p>
    <w:p>
      <w:r>
        <w:t>Consider what "garbage in, deterministic garbage out" means here. The qualifying-service engine (FR-04) deducts non-qualifying spells pulled from M03/M04/M09. But the correctness of a deduction depends on data that legacy systems frequently never captured at the needed granularity: whether an EOL spell was on *medical* grounds (qualifying) or otherwise (non-qualifying) — BR1 flags this dependency but the leave source may simply not carry the reason code; whether a suspension period was later regularised as duty; whether a pre-digitisation break was condoned by an order that exists only on paper. A *deterministic* engine fed an EOL spell with a missing reason code will silently treat it under the default policy and produce a confidently wrong qualifying-service total — which then propagates into pension *and* gratuity *and* family pension. The determinism is not a safeguard; it is an *amplifier* of upstream data defects.</w:t>
      </w:r>
    </w:p>
    <w:p>
      <w:r>
        <w:t xml:space="preserve">So the framing is subtly wrong. The BRD frames M11 as a </w:t>
      </w:r>
      <w:r>
        <w:rPr>
          <w:b/>
        </w:rPr>
        <w:t>computation</w:t>
      </w:r>
      <w:r>
        <w:t xml:space="preserve"> problem ("make the rules explicit and the math reproducible"). The harder, prior problem is a </w:t>
      </w:r>
      <w:r>
        <w:rPr>
          <w:b/>
        </w:rPr>
        <w:t>data-provenance and reconciliation</w:t>
      </w:r>
      <w:r>
        <w:t xml:space="preserve"> problem ("prove the service record is complete and every spell is correctly classified *before* you compute"). World-class pension processing (and the DoPPW *Bhavishya* model it should benchmark against) front-loads an </w:t>
      </w:r>
      <w:r>
        <w:rPr>
          <w:b/>
        </w:rPr>
        <w:t>e-SR completeness and discrepancy-resolution stage</w:t>
      </w:r>
      <w:r>
        <w:t xml:space="preserve"> with explicit attestations, not a single </w:t>
      </w:r>
      <w:r>
        <w:rPr>
          <w:rFonts w:ascii="Consolas" w:hAnsi="Consolas"/>
          <w:sz w:val="20"/>
        </w:rPr>
        <w:t>sr_verified</w:t>
      </w:r>
      <w:r>
        <w:t xml:space="preserve"> boolean. The BRD has </w:t>
      </w:r>
      <w:r>
        <w:rPr>
          <w:rFonts w:ascii="Consolas" w:hAnsi="Consolas"/>
          <w:sz w:val="20"/>
        </w:rPr>
        <w:t>sr_verified</w:t>
      </w:r>
      <w:r>
        <w:t xml:space="preserve"> as a binary gate and </w:t>
      </w:r>
      <w:r>
        <w:rPr>
          <w:rFonts w:ascii="Consolas" w:hAnsi="Consolas"/>
          <w:sz w:val="20"/>
        </w:rPr>
        <w:t>verification_notes</w:t>
      </w:r>
      <w:r>
        <w:t xml:space="preserve"> as free text — far too thin for the thing the whole module depends on.</w:t>
      </w:r>
    </w:p>
    <w:p>
      <w:r>
        <w:t xml:space="preserve">Second hidden assumption: that </w:t>
      </w:r>
      <w:r>
        <w:rPr>
          <w:b/>
        </w:rPr>
        <w:t>M11 is the paymaster that computes the exact monthly amount</w:t>
      </w:r>
      <w:r>
        <w:t xml:space="preserve">. In Indian practice, many pensioners are paid via bank </w:t>
      </w:r>
      <w:r>
        <w:rPr>
          <w:b/>
        </w:rPr>
        <w:t>CPPCs</w:t>
      </w:r>
      <w:r>
        <w:t xml:space="preserve"> that themselves compute and apply Dearness Relief on the basic in the PPO. If that is the operating model, FR-13's "DA revision across the pensioner population" is redundant or actively conflicting work. The BRD never states whether M11 *authorises a basic pension and lets the PDA apply relief*, or *computes the full monthly figure and instructs it*. That single unspecified assumption changes FR-13, FR-14, and the NFR batch sizing materially. (See Chairman second pass.)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am not a pension officer, and reading this told me the authors are — which is both the strength and the problem. The density of unexplained statutory jargon is extreme: *dies-non*, *reckonable half-years*, *commutation factor by age-next-birthday*, *enhanced family pension window*, *weightage*, *no-dues*, *anticipatory vs provisional*, *DCRG*, *PDA/CPPC*. The Glossary helps, but a citizen — the actual end-user of FR-15's self-service portal and FR-12's LC submission — will not read a glossary. A widow navigating the "compassionate fast-track" death-in-service flow at the worst moment of her life is the true acceptance test, and nothing in the BRD is written from her seat.</w:t>
      </w:r>
    </w:p>
    <w:p>
      <w:r>
        <w:t>Concrete worries an outsider sees immediately:</w:t>
      </w:r>
    </w:p>
    <w:p>
      <w:pPr>
        <w:pStyle w:val="ListBullet"/>
      </w:pPr>
      <w:r>
        <w:rPr>
          <w:b/>
        </w:rPr>
        <w:t>The estimator (FR-15) speaks in the system's language, not the user's.</w:t>
      </w:r>
      <w:r>
        <w:t xml:space="preserve"> "Commuted value," "residual pension," "reckonable half-years" on a slider. A best-in-class estimator says *"If you take ₹22.4 lakh now, your monthly pension drops from ₹56,000 to ₹33,600, and it returns to ₹56,000 in October 2041."* The data exists; the framing doesn't.</w:t>
      </w:r>
    </w:p>
    <w:p>
      <w:pPr>
        <w:pStyle w:val="ListBullet"/>
      </w:pPr>
      <w:r>
        <w:rPr>
          <w:b/>
        </w:rPr>
        <w:t>No one has told me what the pensioner actually *has to do*, and when.</w:t>
      </w:r>
      <w:r>
        <w:t xml:space="preserve"> The pensioner-facing surface is a set of API verbs (submit LC, report death, raise grievance). Where is the plain-language *annual calendar* — "your life certificate is due in November; here are four ways to submit it; here is what happens if you miss it"? IR10 silently suspends the pension; from the outside that looks like the enterprise stopped paying with no warning. The notification table helps, but suspension is a financial shock to an 80-year-old.</w:t>
      </w:r>
    </w:p>
    <w:p>
      <w:pPr>
        <w:pStyle w:val="ListBullet"/>
      </w:pPr>
      <w:r>
        <w:rPr>
          <w:b/>
        </w:rPr>
        <w:t>"Family pension conversion on death" assumes the family knows to report the death and how.</w:t>
      </w:r>
      <w:r>
        <w:t xml:space="preserve"> The flow is built for the officer (</w:t>
      </w:r>
      <w:r>
        <w:rPr>
          <w:rFonts w:ascii="Consolas" w:hAnsi="Consolas"/>
          <w:sz w:val="20"/>
        </w:rPr>
        <w:t>:report-death</w:t>
      </w:r>
      <w:r>
        <w:t>), not the grieving relative. Who tells the bank? Who tells M11? What does the family do on day one? This is unowned.</w:t>
      </w:r>
    </w:p>
    <w:p>
      <w:pPr>
        <w:pStyle w:val="ListBullet"/>
      </w:pPr>
      <w:r>
        <w:rPr>
          <w:b/>
        </w:rPr>
        <w:t>Complexity smell:</w:t>
      </w:r>
      <w:r>
        <w:t xml:space="preserve"> the system has *anticipatory* pension, *provisional* implied, *revised*, *superseded*, *restored*, *converted*, *transferred*, *ceased* — and a citizen is expected to track their "case state machine" (FR-15 AC4). Mirroring the internal state machine to the citizen is engineer-think. They need three words: *In progress / Approved / Being paid.*</w:t>
      </w:r>
    </w:p>
    <w:p>
      <w:r>
        <w:t>The module is statutorily impressive and humanly opaque. For a "world-class" bar, the human layer is below standard.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>Can this be built, in what order, and what is the Monday-morning step? Mostly yes — the dependency graph (§14.2) and parallel-agent plan (§14.3) are credible and correctly sequenced (foundation → eligibility → benefit engines → family/settlement → PPO → lifecycle → ops → self-service → analytics). But several execution-blocking unknowns are buried as "assumptions," and the schedule will hit them hard.</w:t>
      </w:r>
    </w:p>
    <w:p>
      <w:r>
        <w:rPr>
          <w:b/>
        </w:rPr>
        <w:t>Blocking dependency #1 — the rule tables don't exist yet, and nothing computes without them.</w:t>
      </w:r>
      <w:r>
        <w:t xml:space="preserve"> Every benefit engine reads effective-dated master data: DA rates, commutation factors by age, family-pension rates, gratuity ceilings (with the DA-linked 25% auto-step), retirement ages by cadre, minimum/maximum pension, half-year rounding rules. The BRD treats these as "configurable, version-controlled" (Assumptions) but provides </w:t>
      </w:r>
      <w:r>
        <w:rPr>
          <w:b/>
        </w:rPr>
        <w:t>no schema for the rule tables themselves</w:t>
      </w:r>
      <w:r>
        <w:t xml:space="preserve"> — they are referenced (</w:t>
      </w:r>
      <w:r>
        <w:rPr>
          <w:rFonts w:ascii="Consolas" w:hAnsi="Consolas"/>
          <w:sz w:val="20"/>
        </w:rPr>
        <w:t>rule_version_ref</w:t>
      </w:r>
      <w:r>
        <w:t xml:space="preserve">) but never modelled as entities. You cannot build FR-05/06/07 against a TEXT reference to a table that has no definition. </w:t>
      </w:r>
      <w:r>
        <w:rPr>
          <w:b/>
        </w:rPr>
        <w:t>This is the critical path and it is invisible in the entity inventory.</w:t>
      </w:r>
    </w:p>
    <w:p>
      <w:r>
        <w:rPr>
          <w:b/>
        </w:rPr>
        <w:t>Blocking dependency #2 — the PDA/treasury interface contract.</w:t>
      </w:r>
      <w:r>
        <w:t xml:space="preserve"> FR-14 says "agreed format … pluggable." There is no format, no field list, no acknowledgement schema, no error taxonomy from the bank/treasury side. Integration with an external paymaster is the single highest-risk, longest-lead item in any pension build (real-world: 4–9 months of bank coordination). It must start in week 1, in parallel, or it becomes the launch-blocker.</w:t>
      </w:r>
    </w:p>
    <w:p>
      <w:r>
        <w:rPr>
          <w:b/>
        </w:rPr>
        <w:t>Blocking dependency #3 — upstream readiness.</w:t>
      </w:r>
      <w:r>
        <w:t xml:space="preserve"> FR-04 depends on M03/M04 leave-spell data carrying reason codes and M12 service being gap-free. If M12/M03 are themselves being built (they are — same suite), M11's eligibility stream cannot integration-test until they land. The plan assumes these as stable reads; they are moving targets.</w:t>
      </w:r>
    </w:p>
    <w:p>
      <w:r>
        <w:rPr>
          <w:b/>
        </w:rPr>
        <w:t>Sequencing reality:</w:t>
      </w:r>
      <w:r>
        <w:t xml:space="preserve"> Streams C (benefit engines) and the rule-table foundation must precede *everything user-visible*. FR-15's estimator "reuses FR-05/06/07 in dry-run" — good reuse, but it means the estimator cannot ship before the engines are correct, so the much-demoed self-service portal is *late* in the schedule, not early. Manage that expectation now.</w:t>
      </w:r>
    </w:p>
    <w:p>
      <w:r>
        <w:rPr>
          <w:b/>
        </w:rPr>
        <w:t>The Monday step:</w:t>
      </w:r>
      <w:r>
        <w:t xml:space="preserve"> stand up the </w:t>
      </w:r>
      <w:r>
        <w:rPr>
          <w:b/>
        </w:rPr>
        <w:t>effective-dated rule-table entities and load + sign-off the actual enterprise rule values</w:t>
      </w:r>
      <w:r>
        <w:t xml:space="preserve"> (DA, factors, rates, ceilings, ages, min/max), and in parallel </w:t>
      </w:r>
      <w:r>
        <w:rPr>
          <w:b/>
        </w:rPr>
        <w:t>open the PDA interface-contract workstream</w:t>
      </w:r>
      <w:r>
        <w:t>. Until those two exist, the benefit engines are unbuildable and the disbursement path is undefined. Everything else can wait a week; these cannot.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*Five reviewers (A–E), each blind to authorship, answer: (1) strongest contribution &amp; why; (2) biggest blind spot, precisely; (3) what ALL FIVE missed.*</w:t>
      </w:r>
    </w:p>
    <w:p>
      <w:pPr>
        <w:pStyle w:val="Heading3"/>
      </w:pPr>
      <w:r>
        <w:rPr>
          <w:b/>
          <w:color w:val="2E5B9E"/>
          <w:sz w:val="26"/>
        </w:rPr>
        <w:t>Reviewer A</w:t>
      </w:r>
    </w:p>
    <w:p>
      <w:pPr>
        <w:pStyle w:val="ListNumber"/>
      </w:pPr>
      <w:r>
        <w:rPr>
          <w:b/>
        </w:rPr>
        <w:t>Strongest:</w:t>
      </w:r>
      <w:r>
        <w:t xml:space="preserve"> The Contrarian. The enhanced-family-pension window conflation and the "proportionate pension is obsolete / no SERVICE_GRATUITY type" findings are *correctness* bugs with line-level evidence, not opinions — they will produce wrong rupee figures, which is the whole risk surface.</w:t>
      </w:r>
    </w:p>
    <w:p>
      <w:pPr>
        <w:pStyle w:val="ListNumber"/>
      </w:pPr>
      <w:r>
        <w:rPr>
          <w:b/>
        </w:rPr>
        <w:t>Biggest blind spot:</w:t>
      </w:r>
      <w:r>
        <w:t xml:space="preserve"> The Contrarian lists fraud and UPS but doesn't connect them to the data model strongly enough — e.g., the UPS gap means the </w:t>
      </w:r>
      <w:r>
        <w:rPr>
          <w:rFonts w:ascii="Consolas" w:hAnsi="Consolas"/>
          <w:sz w:val="20"/>
        </w:rPr>
        <w:t>pension_scheme</w:t>
      </w:r>
      <w:r>
        <w:t xml:space="preserve"> ENUM is structurally wrong, which is a one-line schema fix with huge downstream impact that deserved top billing.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Tax.</w:t>
      </w:r>
      <w:r>
        <w:t xml:space="preserve"> Nobody computed TDS / income-tax treatment on the terminal settlement — taxable vs exempt gratuity (₹20 lakh cap), commuted-pension exemption, leave-encashment exemption, TDS on arrears under 89(1) relief. FR-09 produces gross/net with *recoveries* but no *tax*. A real settlement is wrong without it.</w:t>
      </w:r>
    </w:p>
    <w:p>
      <w:pPr>
        <w:pStyle w:val="Heading3"/>
      </w:pPr>
      <w:r>
        <w:rPr>
          <w:b/>
          <w:color w:val="2E5B9E"/>
          <w:sz w:val="26"/>
        </w:rPr>
        <w:t>Reviewer B</w:t>
      </w:r>
    </w:p>
    <w:p>
      <w:pPr>
        <w:pStyle w:val="ListNumber"/>
      </w:pPr>
      <w:r>
        <w:rPr>
          <w:b/>
        </w:rPr>
        <w:t>Strongest:</w:t>
      </w:r>
      <w:r>
        <w:t xml:space="preserve"> The First Principles Thinker. "Determinism amplifies upstream data defects" reframes the entire module: the BRD's headline virtue (reproducible math) is worthless if the </w:t>
      </w:r>
      <w:r>
        <w:rPr>
          <w:rFonts w:ascii="Consolas" w:hAnsi="Consolas"/>
          <w:sz w:val="20"/>
        </w:rPr>
        <w:t>sr_verified</w:t>
      </w:r>
      <w:r>
        <w:t xml:space="preserve"> boolean rubber-stamps a defective service record. That is the deepest insight in the room.</w:t>
      </w:r>
    </w:p>
    <w:p>
      <w:pPr>
        <w:pStyle w:val="ListNumber"/>
      </w:pPr>
      <w:r>
        <w:rPr>
          <w:b/>
        </w:rPr>
        <w:t>Biggest blind spot:</w:t>
      </w:r>
      <w:r>
        <w:t xml:space="preserve"> First Principles gestures at "an e-SR completeness stage" but doesn't specify it as a concrete artefact (discrepancy ledger, attestation set, condonation register), so the fix is directional, not implementable.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Concurrency/ordering of revisions on a single pensioner.</w:t>
      </w:r>
      <w:r>
        <w:t xml:space="preserve"> When a pay-commission re-fixation, a DA revision, an 80+ age increment, and a commuted-portion restoration all hit the same pensioner around the same effective date, the *order of application* changes the rupee result (DA must apply on the re-fixed basic; restoration changes the base). The BRD lists it as an edge case (FR-13) but defines no deterministic ordering rule — ironic for a determinism-obsessed module.</w:t>
      </w:r>
    </w:p>
    <w:p>
      <w:pPr>
        <w:pStyle w:val="Heading3"/>
      </w:pPr>
      <w:r>
        <w:rPr>
          <w:b/>
          <w:color w:val="2E5B9E"/>
          <w:sz w:val="26"/>
        </w:rPr>
        <w:t>Reviewer C</w:t>
      </w:r>
    </w:p>
    <w:p>
      <w:pPr>
        <w:pStyle w:val="ListNumber"/>
      </w:pPr>
      <w:r>
        <w:rPr>
          <w:b/>
        </w:rPr>
        <w:t>Strongest:</w:t>
      </w:r>
      <w:r>
        <w:t xml:space="preserve"> The Executor. Naming the unmodelled </w:t>
      </w:r>
      <w:r>
        <w:rPr>
          <w:b/>
        </w:rPr>
        <w:t>rule-table entities</w:t>
      </w:r>
      <w:r>
        <w:t xml:space="preserve"> as the invisible critical path is the most actionable finding — it converts a vague "configurable master data" assumption into "you literally cannot build the engines." The PDA-contract lead-time point is equally schedule-saving.</w:t>
      </w:r>
    </w:p>
    <w:p>
      <w:pPr>
        <w:pStyle w:val="ListNumber"/>
      </w:pPr>
      <w:r>
        <w:rPr>
          <w:b/>
        </w:rPr>
        <w:t>Biggest blind spot:</w:t>
      </w:r>
      <w:r>
        <w:t xml:space="preserve"> The Executor accepts the build *order* but doesn't challenge whether the 17-FR scope should be *phased for launch* — e.g., grievance/analytics (FR-16/17) could be post-launch, letting the team de-risk the statutory core first. No MVP cut proposed.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Provisional pension for pending departmental/judicial proceedings at retirement is a distinct statutory state, not just "withhold gratuity."</w:t>
      </w:r>
      <w:r>
        <w:t xml:space="preserve"> Under CCS Rule 9, a retiree with pending proceedings gets *provisional pension* and </w:t>
      </w:r>
      <w:r>
        <w:rPr>
          <w:b/>
        </w:rPr>
        <w:t>fully withheld</w:t>
      </w:r>
      <w:r>
        <w:t xml:space="preserve"> DCRG until the proceedings conclude, with possible recovery thereafter. The BRD has ANTICIPATORY (timing) but no PROVISIONAL (proceedings) PPO type/state — a missed first-class concept that M09 linkage demands.</w:t>
      </w:r>
    </w:p>
    <w:p>
      <w:pPr>
        <w:pStyle w:val="Heading3"/>
      </w:pPr>
      <w:r>
        <w:rPr>
          <w:b/>
          <w:color w:val="2E5B9E"/>
          <w:sz w:val="26"/>
        </w:rPr>
        <w:t>Reviewer D</w:t>
      </w:r>
    </w:p>
    <w:p>
      <w:pPr>
        <w:pStyle w:val="ListNumber"/>
      </w:pPr>
      <w:r>
        <w:rPr>
          <w:b/>
        </w:rPr>
        <w:t>Strongest:</w:t>
      </w:r>
      <w:r>
        <w:t xml:space="preserve"> The Outsider. For a BRD that claims "world-class … self-service, mobile," the observation that the entire pensioner/citizen surface is written in officer-jargon and mirrors the internal state machine is a legitimate below-best-in-class verdict that the four statutory-focused reviewers would otherwise have waved through.</w:t>
      </w:r>
    </w:p>
    <w:p>
      <w:pPr>
        <w:pStyle w:val="ListNumber"/>
      </w:pPr>
      <w:r>
        <w:rPr>
          <w:b/>
        </w:rPr>
        <w:t>Biggest blind spot:</w:t>
      </w:r>
      <w:r>
        <w:t xml:space="preserve"> The Outsider underrates that *some* opacity is statutory and unavoidable (a PPO is a legal instrument). The critique would land harder if it distinguished "jargon we can hide behind plain language" from "legal terms that must remain."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Bank-account verification before first credit (penny-drop / account-name match).</w:t>
      </w:r>
      <w:r>
        <w:t xml:space="preserve"> FR-14 validates "account validity" abstractly, but the catastrophic, common real-world error is paying a correct amount into a *wrong or mistyped account*. No pre-credit verification (penny-drop, IFSC/name match, or NPCI mapper check) is specified — a best-in-class control that prevents the most expensive operational failure.</w:t>
      </w:r>
    </w:p>
    <w:p>
      <w:pPr>
        <w:pStyle w:val="Heading3"/>
      </w:pPr>
      <w:r>
        <w:rPr>
          <w:b/>
          <w:color w:val="2E5B9E"/>
          <w:sz w:val="26"/>
        </w:rPr>
        <w:t>Reviewer E</w:t>
      </w:r>
    </w:p>
    <w:p>
      <w:pPr>
        <w:pStyle w:val="ListNumber"/>
      </w:pPr>
      <w:r>
        <w:rPr>
          <w:b/>
        </w:rPr>
        <w:t>Strongest:</w:t>
      </w:r>
      <w:r>
        <w:t xml:space="preserve"> The Proponent — but as a *baseline*, not a defence. Its value is establishing that the spine (determinism + immutability + SoD + no-break + lifecycle) is genuinely sound, so the council's job is surgical correction, not redesign. That calibration prevents over-reaction to the Contrarian's list.</w:t>
      </w:r>
    </w:p>
    <w:p>
      <w:pPr>
        <w:pStyle w:val="ListNumber"/>
      </w:pPr>
      <w:r>
        <w:rPr>
          <w:b/>
        </w:rPr>
        <w:t>Biggest blind spot:</w:t>
      </w:r>
      <w:r>
        <w:t xml:space="preserve"> The Proponent praises G2 ("byte-identical re-run") without noticing it is a hostage to fortune: "beneficial-of-both" emoluments, floating DA timing, and external NPS/UPS figures make literal byte-identity unachievable; the goal should be "identical *given the snapshotted rule version and inputs*," which the body already implies but the goal overclaims.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Dual family pension and the two-eligible-children/twins cases.</w:t>
      </w:r>
      <w:r>
        <w:t xml:space="preserve"> Where both spouses are employees, the survivor can draw </w:t>
      </w:r>
      <w:r>
        <w:rPr>
          <w:b/>
        </w:rPr>
        <w:t>two</w:t>
      </w:r>
      <w:r>
        <w:t xml:space="preserve"> family pensions subject to a cap; twins/multiple eligible children can draw simultaneously per rule. The BRD asserts "only one beneficiary draws at a time" (FR-08 BR2) — which is *wrong* as an absolute and will under-pay legitimate dual/twin claimants.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Points of Agreement</w:t>
      </w:r>
    </w:p>
    <w:p>
      <w:pPr>
        <w:pStyle w:val="ListBullet"/>
      </w:pPr>
      <w:r>
        <w:rPr>
          <w:b/>
        </w:rPr>
        <w:t>The spine is sound and genuinely near best-in-class:</w:t>
      </w:r>
      <w:r>
        <w:t xml:space="preserve"> determinism + </w:t>
      </w:r>
      <w:r>
        <w:rPr>
          <w:rFonts w:ascii="Consolas" w:hAnsi="Consolas"/>
          <w:sz w:val="20"/>
        </w:rPr>
        <w:t>calc_trace</w:t>
      </w:r>
      <w:r>
        <w:t xml:space="preserve"> + </w:t>
      </w:r>
      <w:r>
        <w:rPr>
          <w:rFonts w:ascii="Consolas" w:hAnsi="Consolas"/>
          <w:sz w:val="20"/>
        </w:rPr>
        <w:t>rule_version_ref</w:t>
      </w:r>
      <w:r>
        <w:t>, immutability-by-supersession, SoD enforced at IR/guard level, anticipatory-pension no-break engineering, all six separation types, full pensioner lifecycle with DLC + fallback. No advisor wants a redesign.</w:t>
      </w:r>
    </w:p>
    <w:p>
      <w:pPr>
        <w:pStyle w:val="ListBullet"/>
      </w:pPr>
      <w:r>
        <w:rPr>
          <w:b/>
        </w:rPr>
        <w:t>The risk is precision, not architecture:</w:t>
      </w:r>
      <w:r>
        <w:t xml:space="preserve"> several *statutory specifics* are wrong or missing and will yield confidently-wrong numbers with a clean audit trail — the worst failure class for pension.</w:t>
      </w:r>
    </w:p>
    <w:p>
      <w:pPr>
        <w:pStyle w:val="ListBullet"/>
      </w:pPr>
      <w:r>
        <w:rPr>
          <w:b/>
        </w:rPr>
        <w:t>Two foundations are unmodelled and on the critical path:</w:t>
      </w:r>
      <w:r>
        <w:t xml:space="preserve"> the </w:t>
      </w:r>
      <w:r>
        <w:rPr>
          <w:b/>
        </w:rPr>
        <w:t>effective-dated rule-table entities</w:t>
      </w:r>
      <w:r>
        <w:t xml:space="preserve"> and the </w:t>
      </w:r>
      <w:r>
        <w:rPr>
          <w:b/>
        </w:rPr>
        <w:t>PDA/treasury interface contract</w:t>
      </w:r>
      <w:r>
        <w:t>. Both must start week 1.</w:t>
      </w:r>
    </w:p>
    <w:p>
      <w:pPr>
        <w:pStyle w:val="ListBullet"/>
      </w:pPr>
      <w:r>
        <w:rPr>
          <w:b/>
        </w:rPr>
        <w:t>The whole module rests on service-record/leave-data quality;</w:t>
      </w:r>
      <w:r>
        <w:t xml:space="preserve"> </w:t>
      </w:r>
      <w:r>
        <w:rPr>
          <w:rFonts w:ascii="Consolas" w:hAnsi="Consolas"/>
          <w:sz w:val="20"/>
        </w:rPr>
        <w:t>sr_verified</w:t>
      </w:r>
      <w:r>
        <w:t xml:space="preserve"> (boolean) + </w:t>
      </w:r>
      <w:r>
        <w:rPr>
          <w:rFonts w:ascii="Consolas" w:hAnsi="Consolas"/>
          <w:sz w:val="20"/>
        </w:rPr>
        <w:t>verification_notes</w:t>
      </w:r>
      <w:r>
        <w:t xml:space="preserve"> (free text) is too thin for the thing everything depends on.</w:t>
      </w:r>
    </w:p>
    <w:p>
      <w:pPr>
        <w:pStyle w:val="ListBullet"/>
      </w:pPr>
      <w:r>
        <w:rPr>
          <w:b/>
        </w:rPr>
        <w:t>The citizen/human layer is below the "world-class" bar</w:t>
      </w:r>
      <w:r>
        <w:t xml:space="preserve"> the BRD sets for itself.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Proponent vs Contrarian/First Principles on "deterministic = trustworthy."</w:t>
      </w:r>
      <w:r>
        <w:t xml:space="preserve"> Resolved: determinism is necessary but *amplifies* upstream defects; it is a defence only when paired with a rigorous input-provenance stage. Both are right at different layers.</w:t>
      </w:r>
    </w:p>
    <w:p>
      <w:pPr>
        <w:pStyle w:val="ListBullet"/>
      </w:pPr>
      <w:r>
        <w:rPr>
          <w:b/>
        </w:rPr>
        <w:t>Outsider vs Reviewer D on jargon.</w:t>
      </w:r>
      <w:r>
        <w:t xml:space="preserve"> Resolved: separate immutable legal terms (PPO, commutation) from hideable jargon; add a plain-language presentation layer over an unchanged statutory core.</w:t>
      </w:r>
    </w:p>
    <w:p>
      <w:pPr>
        <w:pStyle w:val="ListBullet"/>
      </w:pPr>
      <w:r>
        <w:rPr>
          <w:b/>
        </w:rPr>
        <w:t>FUNDAMENTAL CLASH (second pass below): Is M11 the paymaster or the authoriser?</w:t>
      </w:r>
      <w:r>
        <w:t xml:space="preserve"> First Principles and Executor surface that FR-13 (compute DA across population) and FR-14 (instruct exact amounts) silently assume M11 computes the full monthly figure — but the Indian CPPC model has banks apply Dearness Relief on the basic in the PPO. This is not a detail; it reshapes FR-13, FR-14, and NFR batch sizing.</w:t>
      </w:r>
    </w:p>
    <w:p>
      <w:pPr>
        <w:pStyle w:val="Heading3"/>
      </w:pPr>
      <w:r>
        <w:rPr>
          <w:b/>
          <w:color w:val="2E5B9E"/>
          <w:sz w:val="26"/>
        </w:rPr>
        <w:t>3.3 Blind Spots the Whole Council Initially Shared (now surfaced)</w:t>
      </w:r>
    </w:p>
    <w:p>
      <w:pPr>
        <w:pStyle w:val="ListBullet"/>
      </w:pPr>
      <w:r>
        <w:rPr>
          <w:b/>
        </w:rPr>
        <w:t>Tax/TDS</w:t>
      </w:r>
      <w:r>
        <w:t xml:space="preserve"> on terminal benefits (Reviewer A).</w:t>
      </w:r>
    </w:p>
    <w:p>
      <w:pPr>
        <w:pStyle w:val="ListBullet"/>
      </w:pPr>
      <w:r>
        <w:rPr>
          <w:b/>
        </w:rPr>
        <w:t>Revision ordering/concurrency</w:t>
      </w:r>
      <w:r>
        <w:t xml:space="preserve"> on a single pensioner (Reviewer B).</w:t>
      </w:r>
    </w:p>
    <w:p>
      <w:pPr>
        <w:pStyle w:val="ListBullet"/>
      </w:pPr>
      <w:r>
        <w:rPr>
          <w:b/>
        </w:rPr>
        <w:t>Provisional pension (Rule 9, pending proceedings)</w:t>
      </w:r>
      <w:r>
        <w:t xml:space="preserve"> as a first-class state (Reviewer C).</w:t>
      </w:r>
    </w:p>
    <w:p>
      <w:pPr>
        <w:pStyle w:val="ListBullet"/>
      </w:pPr>
      <w:r>
        <w:rPr>
          <w:b/>
        </w:rPr>
        <w:t>Pre-credit bank-account verification (penny-drop)</w:t>
      </w:r>
      <w:r>
        <w:t xml:space="preserve"> (Reviewer D).</w:t>
      </w:r>
    </w:p>
    <w:p>
      <w:pPr>
        <w:pStyle w:val="ListBullet"/>
      </w:pPr>
      <w:r>
        <w:rPr>
          <w:b/>
        </w:rPr>
        <w:t>Dual family pension / twins</w:t>
      </w:r>
      <w:r>
        <w:t xml:space="preserve"> simultaneous payment (Reviewer E).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rPr>
          <w:b/>
        </w:rPr>
        <w:t>v1 belief:</w:t>
      </w:r>
      <w:r>
        <w:t xml:space="preserve"> "A deterministic, traceable, rule-versioned benefit engine across all separation types and a full pensioner lifecycle is world-class."</w:t>
      </w:r>
    </w:p>
    <w:p>
      <w:r>
        <w:rPr>
          <w:b/>
        </w:rPr>
        <w:t>Evolved belief:</w:t>
      </w:r>
      <w:r>
        <w:t xml:space="preserve"> "Determinism is the *floor*, not the achievement. World-class pension requires (a) a rigorous service-record/input-provenance gate *before* computation, (b) statutorily *correct* rule specifics — enhanced-window split, service gratuity, UPS/NPS-death defaults, dual family pension, provisional pension, tax — not just a generic engine, (c) an explicit paymaster-vs-authoriser model, (d) modelled rule-table entities and a concrete PDA contract as the foundation, (e) proactive death/fraud and pre-credit verification controls, and (f) a plain-language human layer over the statutory core."</w:t>
      </w:r>
    </w:p>
    <w:p>
      <w:pPr>
        <w:pStyle w:val="Heading3"/>
      </w:pPr>
      <w:r>
        <w:rPr>
          <w:b/>
          <w:color w:val="2E5B9E"/>
          <w:sz w:val="26"/>
        </w:rPr>
        <w:t>3.5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 / Reviewer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Enhanced family pension window conflated (death-in-service = 10 yrs no age cap vs after-retirement = 7 yrs/age-67) → systematic underpayment to bereaved families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Split into two rule-driven windows keyed on separation path; add </w:t>
            </w:r>
            <w:r>
              <w:rPr>
                <w:rFonts w:ascii="Consolas" w:hAnsi="Consolas"/>
                <w:sz w:val="18"/>
              </w:rPr>
              <w:t>enhanced_basis</w:t>
            </w:r>
            <w:r>
              <w:rPr>
                <w:sz w:val="18"/>
              </w:rPr>
              <w:t xml:space="preserve"> + separate window params; test both paths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Obsolete proportionate-pension formula; no SERVICE_GRATUITY for &lt;10 yrs qualifying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Set flat 50% for ≥10 yrs; add </w:t>
            </w:r>
            <w:r>
              <w:rPr>
                <w:rFonts w:ascii="Consolas" w:hAnsi="Consolas"/>
                <w:sz w:val="18"/>
              </w:rPr>
              <w:t>SERVICE_GRATUITY</w:t>
            </w:r>
            <w:r>
              <w:rPr>
                <w:sz w:val="18"/>
              </w:rPr>
              <w:t xml:space="preserve"> gratuity_type and the &lt;10-yr branch; deprecate proportionate fraction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pension_scheme</w:t>
            </w:r>
            <w:r>
              <w:rPr>
                <w:sz w:val="18"/>
              </w:rPr>
              <w:t xml:space="preserve"> ENUM cannot represent </w:t>
            </w:r>
            <w:r>
              <w:rPr>
                <w:b/>
                <w:sz w:val="18"/>
              </w:rPr>
              <w:t>UPS</w:t>
            </w:r>
            <w:r>
              <w:rPr>
                <w:sz w:val="18"/>
              </w:rPr>
              <w:t>; NPS-death/invalidation default benefit (CCS-NPS Rules 2021) absent → misrouting of a growing cohort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UPS</w:t>
            </w:r>
            <w:r>
              <w:rPr>
                <w:sz w:val="18"/>
              </w:rPr>
              <w:t xml:space="preserve"> to scheme ENUM; add NPS-death/invalidation default-benefit branch (OPS-equivalent family/invalid pension); add UPS assured-payout calc + opt-in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Family pension routed through *nominees* not the rule-defined *family* → illegal payments / missed eligible family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separate </w:t>
            </w:r>
            <w:r>
              <w:rPr>
                <w:rFonts w:ascii="Consolas" w:hAnsi="Consolas"/>
                <w:sz w:val="18"/>
              </w:rPr>
              <w:t>family_members</w:t>
            </w:r>
            <w:r>
              <w:rPr>
                <w:sz w:val="18"/>
              </w:rPr>
              <w:t xml:space="preserve"> register (Form 3/14); drive family-pension eligibility from it, not </w:t>
            </w:r>
            <w:r>
              <w:rPr>
                <w:rFonts w:ascii="Consolas" w:hAnsi="Consolas"/>
                <w:sz w:val="18"/>
              </w:rPr>
              <w:t>nominees_beneficiaries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record/leave-quality dependency under-controlled (</w:t>
            </w:r>
            <w:r>
              <w:rPr>
                <w:rFonts w:ascii="Consolas" w:hAnsi="Consolas"/>
                <w:sz w:val="18"/>
              </w:rPr>
              <w:t>sr_verified</w:t>
            </w:r>
            <w:r>
              <w:rPr>
                <w:sz w:val="18"/>
              </w:rPr>
              <w:t xml:space="preserve"> boolean only) → deterministic-but-wrong qualifying service propagates to 3 benefits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Principles / Rev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an e-SR completeness/discrepancy-resolution stage: discrepancy ledger, per-spell reason-code attestation, condonation register, multi-point sign-off before CALCULATION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Paymaster-vs-authoriser model unspecified → FR-13/FR-14 may duplicate or conflict with bank CPPC relief computation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Principles / 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Decide and document the disbursement model explicitly (see second pass); branch FR-13/14 accordingly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Rule-table entities unmodelled (referenced only via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TEXT) → benefit engines unbuildable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 / Rev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 effective-dated rule-table entities (DA, commutation factors, FP rates, gratuity ceiling w/ DA-step, retirement ages, min/max, rounding); load + sign off values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PDA/treasury interface "pluggable" but undefined → longest-lead integration becomes launch-blocker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PDA interface-contract workstream week 1: field list, ack schema, error taxonomy, sandbox, penny-drop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proactive pensioner-death/fraud control; no overpayment-recovery-from-estate entity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death-registry/Aadhaar-DBT reconciliation job, anomaly/dormancy detection, </w:t>
            </w:r>
            <w:r>
              <w:rPr>
                <w:rFonts w:ascii="Consolas" w:hAnsi="Consolas"/>
                <w:sz w:val="18"/>
              </w:rPr>
              <w:t>pension_overpayment_recoveries</w:t>
            </w:r>
            <w:r>
              <w:rPr>
                <w:sz w:val="18"/>
              </w:rPr>
              <w:t xml:space="preserve"> entity, "pension drawn after death" exception 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Provisional pension (Rule 9, pending proceedings) not a first-class state; gratuity-withhold logic too thin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PROVISIONAL</w:t>
            </w:r>
            <w:r>
              <w:rPr>
                <w:sz w:val="18"/>
              </w:rPr>
              <w:t xml:space="preserve"> ppo_type/state; fully-withhold DCRG until proceedings conclude; M09-linkage guard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Commuted-value reduction/restoration timing ambiguous (commutation vs reduction vs retirement date)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Define </w:t>
            </w:r>
            <w:r>
              <w:rPr>
                <w:rFonts w:ascii="Consolas" w:hAnsi="Consolas"/>
                <w:sz w:val="18"/>
              </w:rPr>
              <w:t>commutation_payment_date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reduction_effective_date</w:t>
            </w:r>
            <w:r>
              <w:rPr>
                <w:sz w:val="18"/>
              </w:rPr>
              <w:t>; compute restoration = reduction date + 15 yrs; handle unknown migrated dates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tax/TDS on terminal settlement (gratuity ₹20L cap, commutation exemption, leave-encashment exemption, 89(1) arrears relief)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tax-computation step to FR-09; capture taxable/exempt splits and TDS lines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deterministic ordering of concurrent revisions/restoration/age-increment on one pensioner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mandatory application order (pay-commission re-fix → restoration → DA → age increment); make it part of the determinism contract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 family pension and twins/multiple eligible children blocked by absolute "one beneficiary at a time"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Replace BR2 absolute with rule: allow dual family pension (with cap) and simultaneous twin/eligible-children shares per rule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pre-credit bank-account verification (penny-drop / name-IFSC match)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account-verification control before first disbursement; block on mismatch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Citizen/self-service surface in officer-jargon; mirrors internal state machine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Rev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Plain-language layer: 3-state citizen tracker, outcome-framed estimator, LC calendar, bereavement guide; keep legal terms only where statutory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G2 "byte-identical re-run" overclaims given beneficial-of-both/external NPS figures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Reword to "identical given snapshotted rule version + inputs"; exclude external/indicative NPS figures from the determinism guarantee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No structured prior-service / military-service addition (only VRS </w:t>
            </w:r>
            <w:r>
              <w:rPr>
                <w:rFonts w:ascii="Consolas" w:hAnsi="Consolas"/>
                <w:sz w:val="18"/>
              </w:rPr>
              <w:t>weightage_years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Principles (edge)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structured counted-prior-service input (ex-servicemen, prior temp/central/state service with pro-forma) distinct from VRS weightage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3.6 Recommendation</w:t>
      </w:r>
    </w:p>
    <w:p>
      <w:r>
        <w:rPr>
          <w:b/>
        </w:rPr>
        <w:t>Conditional GO for Gate A, with a mandatory statutory-correctness amendment pass before any benefit-engine build.</w:t>
      </w:r>
      <w:r>
        <w:t xml:space="preserve"> The architecture, data spine, SoD, immutability, lifecycle, and traceability are sound and should not be reopened. But seven Critical findings (R1–R7) are either wrong rupee math or unbuildable foundations — they must be fixed in BRD v2 *before* FR-04/05/07/08 are implemented, because they change formulas, ENUMs, and entity definitions. Treat R1–R4 (correctness), R5 (input provenance), R7 (rule tables) as v2 blockers; R6 (paymaster model) as a decision to be recorded this week; R8 (PDA contract) as a parallel workstream starting now.</w:t>
      </w:r>
    </w:p>
    <w:p>
      <w:pPr>
        <w:pStyle w:val="Heading3"/>
      </w:pPr>
      <w:r>
        <w:rPr>
          <w:b/>
          <w:color w:val="2E5B9E"/>
          <w:sz w:val="26"/>
        </w:rPr>
        <w:t>3.7 The One Thing To Do First</w:t>
      </w:r>
    </w:p>
    <w:p>
      <w:r>
        <w:rPr>
          <w:b/>
        </w:rPr>
        <w:t>Model and populate the effective-dated rule-table entities, and in the same artefact resolve the paymaster-vs-authoriser decision (R6/R7).</w:t>
      </w:r>
      <w:r>
        <w:t xml:space="preserve"> Nothing computes without the rule tables, and the paymaster decision determines whether FR-13/FR-14 even exist in their current form. These two together unblock every benefit engine and the entire disbursement path; they are the genuine critical path that §14.2 hides.</w:t>
      </w:r>
    </w:p>
    <w:p>
      <w:pPr>
        <w:pStyle w:val="Heading3"/>
      </w:pPr>
      <w:r>
        <w:rPr>
          <w:b/>
          <w:color w:val="2E5B9E"/>
          <w:sz w:val="26"/>
        </w:rPr>
        <w:t>3.8 Focused Second Pass — The Fundamental Clash: Paymaster vs Authoriser</w:t>
      </w:r>
    </w:p>
    <w:p>
      <w:r>
        <w:t xml:space="preserve">The unresolved structural question: </w:t>
      </w:r>
      <w:r>
        <w:rPr>
          <w:b/>
        </w:rPr>
        <w:t>does M11 compute and instruct each pensioner's exact monthly amount (paymaster), or authorise a basic-pension PPO and let an external PDA/bank-CPPC apply Dearness Relief and pay (authoriser)?</w:t>
      </w:r>
    </w:p>
    <w:p>
      <w:pPr>
        <w:pStyle w:val="ListBullet"/>
      </w:pPr>
      <w:r>
        <w:rPr>
          <w:b/>
        </w:rPr>
        <w:t>If paymaster:</w:t>
      </w:r>
      <w:r>
        <w:t xml:space="preserve"> FR-13 (DA revision across 100k pensioners in 30 min) and FR-14 (exact-amount instructions, monthly batch &lt;10 min) are correct as written, and M11 owns the full liability and arrears computation. This maximises control and audit-determinism but requires M11 to mirror every relief change the moment it is notified and to reconcile against bank credits at line level.</w:t>
      </w:r>
    </w:p>
    <w:p>
      <w:pPr>
        <w:pStyle w:val="ListBullet"/>
      </w:pPr>
      <w:r>
        <w:rPr>
          <w:b/>
        </w:rPr>
        <w:t>If authoriser (CPPC model):</w:t>
      </w:r>
      <w:r>
        <w:t xml:space="preserve"> the PPO carries the *basic* pension and the relief formula; the bank applies DA and computes monthly. Then FR-13's population-wide DA recompute is largely </w:t>
      </w:r>
      <w:r>
        <w:rPr>
          <w:b/>
        </w:rPr>
        <w:t>redundant or conflicting</w:t>
      </w:r>
      <w:r>
        <w:t xml:space="preserve"> — M11 would instead *notify* a relief order and reconcile, not recompute every line. NFR batch sizing changes drastically (you transmit orders, not 100k computed lines).</w:t>
      </w:r>
    </w:p>
    <w:p>
      <w:r>
        <w:rPr>
          <w:b/>
        </w:rPr>
        <w:t>Chairman ruling:</w:t>
      </w:r>
      <w:r>
        <w:t xml:space="preserve"> The BRD must state the model explicitly per PDA type, and it is almost certainly </w:t>
      </w:r>
      <w:r>
        <w:rPr>
          <w:b/>
        </w:rPr>
        <w:t>hybrid</w:t>
      </w:r>
      <w:r>
        <w:t xml:space="preserve">: M11 is the *authoriser of record and arrears/terminal-payment paymaster*, while *monthly relief* may be applied by the PDA where the PDA is a CPPC bank, or by M11 where the PDA is a treasury that pays exactly what it is told. Action: add a </w:t>
      </w:r>
      <w:r>
        <w:rPr>
          <w:rFonts w:ascii="Consolas" w:hAnsi="Consolas"/>
          <w:sz w:val="20"/>
        </w:rPr>
        <w:t>pda_disbursement_model</w:t>
      </w:r>
      <w:r>
        <w:t xml:space="preserve"> attribute (M11_COMPUTES_FULL vs PDA_APPLIES_RELIEF) to the PDA/</w:t>
      </w:r>
      <w:r>
        <w:rPr>
          <w:rFonts w:ascii="Consolas" w:hAnsi="Consolas"/>
          <w:sz w:val="20"/>
        </w:rPr>
        <w:t>pda_id</w:t>
      </w:r>
      <w:r>
        <w:t xml:space="preserve"> reference, and branch FR-13 (recompute-and-instruct vs notify-relief-order-and-reconcile) and FR-14 on it. Without this, FR-13/FR-14 are built against an assumption no stakeholder has confirmed, and the first live DA cycle after launch is where it will fail.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Split the enhanced family-pension window by path.</w:t>
      </w:r>
      <w:r>
        <w:t xml:space="preserve"> Death-in-service → enhanced rate for </w:t>
      </w:r>
      <w:r>
        <w:rPr>
          <w:b/>
        </w:rPr>
        <w:t>10 years, no age cap</w:t>
      </w:r>
      <w:r>
        <w:t xml:space="preserve">; death-after-retirement → enhanced for </w:t>
      </w:r>
      <w:r>
        <w:rPr>
          <w:b/>
        </w:rPr>
        <w:t>7 years or up to age 67 / would-be superannuation, whichever earlier</w:t>
      </w:r>
      <w:r>
        <w:t xml:space="preserve">. Add </w:t>
      </w:r>
      <w:r>
        <w:rPr>
          <w:rFonts w:ascii="Consolas" w:hAnsi="Consolas"/>
          <w:sz w:val="20"/>
        </w:rPr>
        <w:t>enhanced_basis</w:t>
      </w:r>
      <w:r>
        <w:t xml:space="preserve"> (IN_SERVICE / AFTER_RETIREMENT) and separate window parameters to </w:t>
      </w:r>
      <w:r>
        <w:rPr>
          <w:rFonts w:ascii="Consolas" w:hAnsi="Consolas"/>
          <w:sz w:val="20"/>
        </w:rPr>
        <w:t>family_pension_records</w:t>
      </w:r>
      <w:r>
        <w:t>; add tests for both step-downs. (R1)</w:t>
      </w:r>
    </w:p>
    <w:p>
      <w:pPr>
        <w:pStyle w:val="ListNumber"/>
      </w:pPr>
      <w:r>
        <w:rPr>
          <w:b/>
        </w:rPr>
        <w:t>Replace the obsolete proportionate-pension model and add Service Gratuity.</w:t>
      </w:r>
      <w:r>
        <w:t xml:space="preserve"> For ≥10 years qualifying = flat 50% of emoluments; for &lt;10 years = no pension, only a one-time </w:t>
      </w:r>
      <w:r>
        <w:rPr>
          <w:b/>
        </w:rPr>
        <w:t>service gratuity</w:t>
      </w:r>
      <w:r>
        <w:t xml:space="preserve">. Add </w:t>
      </w:r>
      <w:r>
        <w:rPr>
          <w:rFonts w:ascii="Consolas" w:hAnsi="Consolas"/>
          <w:sz w:val="20"/>
        </w:rPr>
        <w:t>SERVICE_GRATUITY</w:t>
      </w:r>
      <w:r>
        <w:t xml:space="preserve"> to the </w:t>
      </w:r>
      <w:r>
        <w:rPr>
          <w:rFonts w:ascii="Consolas" w:hAnsi="Consolas"/>
          <w:sz w:val="20"/>
        </w:rPr>
        <w:t>gratuity_type</w:t>
      </w:r>
      <w:r>
        <w:t xml:space="preserve"> ENUM and the &lt;10-year branch in FR-05/FR-07; rewrite FR-05 AC1. (R2)</w:t>
      </w:r>
    </w:p>
    <w:p>
      <w:pPr>
        <w:pStyle w:val="ListNumber"/>
      </w:pPr>
      <w:r>
        <w:rPr>
          <w:b/>
        </w:rPr>
        <w:t>Add UPS and enterprise-NPS death/invalidation defaults.</w:t>
      </w:r>
      <w:r>
        <w:t xml:space="preserve"> Extend </w:t>
      </w:r>
      <w:r>
        <w:rPr>
          <w:rFonts w:ascii="Consolas" w:hAnsi="Consolas"/>
          <w:sz w:val="20"/>
        </w:rPr>
        <w:t>pension_scheme</w:t>
      </w:r>
      <w:r>
        <w:t xml:space="preserve"> ENUM to </w:t>
      </w:r>
      <w:r>
        <w:rPr>
          <w:b/>
        </w:rPr>
        <w:t>{OPS, NPS, UPS}</w:t>
      </w:r>
      <w:r>
        <w:t>; add a UPS assured-payout calculation (≈50% of last-12-month average pay) with an opt-in flag; add the CCS-NPS Rules 2021 default-benefit branch giving NPS employees' families OPS-equivalent family/invalid pension on death-in-service/invalidation. Rewrite FR-05 AC4 and Appendix 16.5. (R3)</w:t>
      </w:r>
    </w:p>
    <w:p>
      <w:pPr>
        <w:pStyle w:val="ListNumber"/>
      </w:pPr>
      <w:r>
        <w:rPr>
          <w:b/>
        </w:rPr>
        <w:t>Separate the family-members register from nominees.</w:t>
      </w:r>
      <w:r>
        <w:t xml:space="preserve"> Add a </w:t>
      </w:r>
      <w:r>
        <w:rPr>
          <w:rFonts w:ascii="Consolas" w:hAnsi="Consolas"/>
          <w:sz w:val="20"/>
        </w:rPr>
        <w:t>family_members</w:t>
      </w:r>
      <w:r>
        <w:t xml:space="preserve"> entity (Form 3/Form 14 family details) and drive family-pension eligibility/hierarchy from it; restrict </w:t>
      </w:r>
      <w:r>
        <w:rPr>
          <w:rFonts w:ascii="Consolas" w:hAnsi="Consolas"/>
          <w:sz w:val="20"/>
        </w:rPr>
        <w:t>nominees_beneficiaries</w:t>
      </w:r>
      <w:r>
        <w:t xml:space="preserve"> to gratuity/GPF/leave-encashment. Update IR8, FR-08, and the relationship map. (R4)</w:t>
      </w:r>
    </w:p>
    <w:p>
      <w:pPr>
        <w:pStyle w:val="ListNumber"/>
      </w:pPr>
      <w:r>
        <w:rPr>
          <w:b/>
        </w:rPr>
        <w:t>Add an e-SR completeness &amp; discrepancy-resolution stage before CALCULATION.</w:t>
      </w:r>
      <w:r>
        <w:t xml:space="preserve"> Introduce a </w:t>
      </w:r>
      <w:r>
        <w:rPr>
          <w:rFonts w:ascii="Consolas" w:hAnsi="Consolas"/>
          <w:sz w:val="20"/>
        </w:rPr>
        <w:t>service_verification</w:t>
      </w:r>
      <w:r>
        <w:t xml:space="preserve"> artefact with a discrepancy ledger, per-non-qualifying-spell reason-code attestation, a condonation register (orders, not free text), and multi-point sign-off; gate CALCULATION on it instead of a lone </w:t>
      </w:r>
      <w:r>
        <w:rPr>
          <w:rFonts w:ascii="Consolas" w:hAnsi="Consolas"/>
          <w:sz w:val="20"/>
        </w:rPr>
        <w:t>sr_verified</w:t>
      </w:r>
      <w:r>
        <w:t xml:space="preserve"> boolean. (R5)</w:t>
      </w:r>
    </w:p>
    <w:p>
      <w:pPr>
        <w:pStyle w:val="ListNumber"/>
      </w:pPr>
      <w:r>
        <w:rPr>
          <w:b/>
        </w:rPr>
        <w:t>Record the paymaster-vs-authoriser model explicitly.</w:t>
      </w:r>
      <w:r>
        <w:t xml:space="preserve"> Add </w:t>
      </w:r>
      <w:r>
        <w:rPr>
          <w:rFonts w:ascii="Consolas" w:hAnsi="Consolas"/>
          <w:sz w:val="20"/>
        </w:rPr>
        <w:t>pda_disbursement_model</w:t>
      </w:r>
      <w:r>
        <w:t xml:space="preserve"> (M11_COMPUTES_FULL / PDA_APPLIES_RELIEF) to the PDA reference; branch FR-13 (recompute-and-instruct vs notify-relief-order-and-reconcile) and FR-14 accordingly; update NFR batch sizing assumptions. (R6, second pass)</w:t>
      </w:r>
    </w:p>
    <w:p>
      <w:pPr>
        <w:pStyle w:val="ListNumber"/>
      </w:pPr>
      <w:r>
        <w:rPr>
          <w:b/>
        </w:rPr>
        <w:t>Model the effective-dated rule-table entities.</w:t>
      </w:r>
      <w:r>
        <w:t xml:space="preserve"> Add first-class entities for DA/Dearness-Relief rates, commutation factors by age, family-pension rates, gratuity ceiling (with the DA-linked 25% auto-step), retirement ages by cadre, minimum/maximum pension, and rounding rules — each effective-dated and versioned — so </w:t>
      </w:r>
      <w:r>
        <w:rPr>
          <w:rFonts w:ascii="Consolas" w:hAnsi="Consolas"/>
          <w:sz w:val="20"/>
        </w:rPr>
        <w:t>rule_version_ref</w:t>
      </w:r>
      <w:r>
        <w:t xml:space="preserve"> points to real rows. Load and sign off the actual enterprise values. (R7)</w:t>
      </w:r>
    </w:p>
    <w:p>
      <w:pPr>
        <w:pStyle w:val="ListNumber"/>
      </w:pPr>
      <w:r>
        <w:rPr>
          <w:b/>
        </w:rPr>
        <w:t>Define the PDA/treasury interface contract.</w:t>
      </w:r>
      <w:r>
        <w:t xml:space="preserve"> Specify the disbursement file/API field list, acknowledgement schema, bank/treasury-side error taxonomy, retry/re-route semantics, and a sandbox tie-out; open this as a week-1 parallel workstream. (R8)</w:t>
      </w:r>
    </w:p>
    <w:p>
      <w:pPr>
        <w:pStyle w:val="ListNumber"/>
      </w:pPr>
      <w:r>
        <w:rPr>
          <w:b/>
        </w:rPr>
        <w:t>Add proactive death-detection and overpayment recovery.</w:t>
      </w:r>
      <w:r>
        <w:t xml:space="preserve"> Add a death-registry/Aadhaar-DBT reconciliation job, payment-anomaly/dormancy detection, a </w:t>
      </w:r>
      <w:r>
        <w:rPr>
          <w:rFonts w:ascii="Consolas" w:hAnsi="Consolas"/>
          <w:sz w:val="20"/>
        </w:rPr>
        <w:t>pension_overpayment_recoveries</w:t>
      </w:r>
      <w:r>
        <w:t xml:space="preserve"> entity, and a "pension drawn after death" exception report; define recovery-from-estate/legal-heir workflow. (R9)</w:t>
      </w:r>
    </w:p>
    <w:p>
      <w:pPr>
        <w:pStyle w:val="ListNumber"/>
      </w:pPr>
      <w:r>
        <w:rPr>
          <w:b/>
        </w:rPr>
        <w:t>Add Provisional Pension (Rule 9) as a first-class concept.</w:t>
      </w:r>
      <w:r>
        <w:t xml:space="preserve"> Add </w:t>
      </w:r>
      <w:r>
        <w:rPr>
          <w:rFonts w:ascii="Consolas" w:hAnsi="Consolas"/>
          <w:sz w:val="20"/>
        </w:rPr>
        <w:t>PROVISIONAL</w:t>
      </w:r>
      <w:r>
        <w:t xml:space="preserve"> to </w:t>
      </w:r>
      <w:r>
        <w:rPr>
          <w:rFonts w:ascii="Consolas" w:hAnsi="Consolas"/>
          <w:sz w:val="20"/>
        </w:rPr>
        <w:t>ppo_type</w:t>
      </w:r>
      <w:r>
        <w:t xml:space="preserve"> and a provisional-pension state for retirees with pending departmental/judicial proceedings; fully withhold DCRG until conclusion with post-decision recovery; wire the M09 linkage guard. (R10)</w:t>
      </w:r>
    </w:p>
    <w:p>
      <w:pPr>
        <w:pStyle w:val="ListNumber"/>
      </w:pPr>
      <w:r>
        <w:rPr>
          <w:b/>
        </w:rPr>
        <w:t>Disambiguate commutation/restoration timing.</w:t>
      </w:r>
      <w:r>
        <w:t xml:space="preserve"> Add </w:t>
      </w:r>
      <w:r>
        <w:rPr>
          <w:rFonts w:ascii="Consolas" w:hAnsi="Consolas"/>
          <w:sz w:val="20"/>
        </w:rPr>
        <w:t>commutation_payment_date</w:t>
      </w:r>
      <w:r>
        <w:t xml:space="preserve"> / </w:t>
      </w:r>
      <w:r>
        <w:rPr>
          <w:rFonts w:ascii="Consolas" w:hAnsi="Consolas"/>
          <w:sz w:val="20"/>
        </w:rPr>
        <w:t>reduction_effective_date</w:t>
      </w:r>
      <w:r>
        <w:t xml:space="preserve">; compute </w:t>
      </w:r>
      <w:r>
        <w:rPr>
          <w:rFonts w:ascii="Consolas" w:hAnsi="Consolas"/>
          <w:sz w:val="20"/>
        </w:rPr>
        <w:t>restoration_due_date</w:t>
      </w:r>
      <w:r>
        <w:t xml:space="preserve"> = reduction date + statutory period (15 yrs); define handling for migrated pensioners with unknown dates. (R11)</w:t>
      </w:r>
    </w:p>
    <w:p>
      <w:pPr>
        <w:pStyle w:val="ListNumber"/>
      </w:pPr>
      <w:r>
        <w:rPr>
          <w:b/>
        </w:rPr>
        <w:t>Add tax/TDS to terminal settlement (FR-09).</w:t>
      </w:r>
      <w:r>
        <w:t xml:space="preserve"> Capture taxable/exempt splits for gratuity (₹20L cap), commuted-pension exemption, and leave-encashment exemption; compute TDS lines and Section 89(1) relief on arrears; surface net-of-tax payout. (R12)</w:t>
      </w:r>
    </w:p>
    <w:p>
      <w:pPr>
        <w:pStyle w:val="ListNumber"/>
      </w:pPr>
      <w:r>
        <w:rPr>
          <w:b/>
        </w:rPr>
        <w:t>Define a deterministic revision-application order.</w:t>
      </w:r>
      <w:r>
        <w:t xml:space="preserve"> Mandate: pay-commission re-fixation → commuted-portion restoration → DA/Dearness-Relief → age-based additional pension; make ordering part of the determinism contract and a tested invariant when multiple events share an effective date. (R13)</w:t>
      </w:r>
    </w:p>
    <w:p>
      <w:pPr>
        <w:pStyle w:val="ListNumber"/>
      </w:pPr>
      <w:r>
        <w:rPr>
          <w:b/>
        </w:rPr>
        <w:t>Allow dual family pension and simultaneous twin/eligible-children shares.</w:t>
      </w:r>
      <w:r>
        <w:t xml:space="preserve"> Replace FR-08 BR2's absolute "one beneficiary at a time" with rules permitting dual family pension (with the prescribed cap) and concurrent shares for twins/multiple eligible children per rule. (R14)</w:t>
      </w:r>
    </w:p>
    <w:p>
      <w:pPr>
        <w:pStyle w:val="ListNumber"/>
      </w:pPr>
      <w:r>
        <w:rPr>
          <w:b/>
        </w:rPr>
        <w:t>Add pre-credit bank-account verification.</w:t>
      </w:r>
      <w:r>
        <w:t xml:space="preserve"> Mandate penny-drop / name-IFSC (NPCI mapper) verification before the first disbursement to any account; block on mismatch via a new validation in FR-14. (R15)</w:t>
      </w:r>
    </w:p>
    <w:p>
      <w:pPr>
        <w:pStyle w:val="ListNumber"/>
      </w:pPr>
      <w:r>
        <w:rPr>
          <w:b/>
        </w:rPr>
        <w:t>Add a plain-language citizen layer.</w:t>
      </w:r>
      <w:r>
        <w:t xml:space="preserve"> Replace the internal state machine on FR-15 with a 3-state citizen tracker (In progress / Approved / Being paid); make the estimator outcome-framed ("take ₹X now, pension drops to ₹Y, restores in MMM-YYYY"); add an LC annual calendar and a step-by-step bereavement/death-reporting guide for families. (R16)</w:t>
      </w:r>
    </w:p>
    <w:p>
      <w:pPr>
        <w:pStyle w:val="ListNumber"/>
      </w:pPr>
      <w:r>
        <w:rPr>
          <w:b/>
        </w:rPr>
        <w:t>Reword the determinism goal (G2).</w:t>
      </w:r>
      <w:r>
        <w:t xml:space="preserve"> Change "byte-identical re-run" to "identical results given the snapshotted rule version and verified inputs," and explicitly exclude external/indicative NPS/UPS-annuity figures from the determinism guarantee. (R17)</w:t>
      </w:r>
    </w:p>
    <w:p>
      <w:pPr>
        <w:pStyle w:val="ListNumber"/>
      </w:pPr>
      <w:r>
        <w:rPr>
          <w:b/>
        </w:rPr>
        <w:t>Add structured counted prior service.</w:t>
      </w:r>
      <w:r>
        <w:t xml:space="preserve"> Add a structured input for counted prior/military service (ex-servicemen, prior temporary/central/state service with pro-forma rules), distinct from VRS </w:t>
      </w:r>
      <w:r>
        <w:rPr>
          <w:rFonts w:ascii="Consolas" w:hAnsi="Consolas"/>
          <w:sz w:val="20"/>
        </w:rPr>
        <w:t>weightage_years</w:t>
      </w:r>
      <w:r>
        <w:t>, feeding qualifying service in FR-04. (R18)</w:t>
      </w:r>
    </w:p>
    <w:p>
      <w:pPr>
        <w:pStyle w:val="ListNumber"/>
      </w:pPr>
      <w:r>
        <w:rPr>
          <w:b/>
        </w:rPr>
        <w:t>Add an Audit-Objection tracking entity (world-class control).</w:t>
      </w:r>
      <w:r>
        <w:t xml:space="preserve"> Model AG/internal-audit objections against pension cases with response/closure workflow and linkage to the case and </w:t>
      </w:r>
      <w:r>
        <w:rPr>
          <w:rFonts w:ascii="Consolas" w:hAnsi="Consolas"/>
          <w:sz w:val="20"/>
        </w:rPr>
        <w:t>calc_trace</w:t>
      </w:r>
      <w:r>
        <w:t>; surface in the Audit &amp; Compliance Register (§12). Turns the stated "audit objection traceability" goal into a built capability.</w:t>
      </w:r>
    </w:p>
    <w:p>
      <w:pPr>
        <w:pStyle w:val="ListNumber"/>
      </w:pPr>
      <w:r>
        <w:rPr>
          <w:b/>
        </w:rPr>
        <w:t>Add digital-delivery integrations for the e-PPO (best-in-class).</w:t>
      </w:r>
      <w:r>
        <w:t xml:space="preserve"> Push the signed e-PPO and revision orders to </w:t>
      </w:r>
      <w:r>
        <w:rPr>
          <w:b/>
        </w:rPr>
        <w:t>DigiLocker</w:t>
      </w:r>
      <w:r>
        <w:t xml:space="preserve"> and link PPO ↔ Aadhaar/PRAN; benchmark the pre-retirement workflow against the DoPPW *Bhavishya* model in the migration/launch plan.</w:t>
      </w:r>
    </w:p>
    <w:p>
      <w:pPr>
        <w:pStyle w:val="ListNumber"/>
      </w:pPr>
      <w:r>
        <w:rPr>
          <w:b/>
        </w:rPr>
        <w:t>Auto-revise the gratuity ceiling on DA milestones.</w:t>
      </w:r>
      <w:r>
        <w:t xml:space="preserve"> Encode the rule that the gratuity statutory ceiling steps up 25% whenever DA crosses each 50% threshold; tie FR-07 to the rule-table entity so the ceiling self-revises rather than relying on manual master-data edits. (supports R7)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M11 retirement and pension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