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M13 document management secure storage council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Subject:</w:t>
      </w:r>
      <w:r>
        <w:t xml:space="preserve"> M13 — Document Management and Secure Storage BRD (v1)</w:t>
      </w:r>
    </w:p>
    <w:p>
      <w:r>
        <w:rPr>
          <w:b/>
        </w:rPr>
        <w:t>Framed question:</w:t>
      </w:r>
      <w:r>
        <w:t xml:space="preserve"> Is this DMS/Secure-Storage BRD complete, correct, and world-class (upload/versioning, encryption/KMS, classification access control, virus scan, OCR/search, retention/legal-hold/WORM, e-sign, audit, and the attach/fetch contract for all modules) for a leading global organisation's HRMS with public-sector statutory needs — and what makes it bulletproof?</w:t>
      </w:r>
    </w:p>
    <w:p>
      <w:r>
        <w:rPr>
          <w:b/>
        </w:rPr>
        <w:t>Documents read:</w:t>
      </w:r>
      <w:r>
        <w:t xml:space="preserve"> </w:t>
      </w:r>
      <w:r>
        <w:rPr>
          <w:rFonts w:ascii="Consolas" w:hAnsi="Consolas"/>
          <w:sz w:val="20"/>
        </w:rPr>
        <w:t>docs/brd/v1/M13-document-management-secure-storage.md</w:t>
      </w:r>
      <w:r>
        <w:t xml:space="preserve">, </w:t>
      </w:r>
      <w:r>
        <w:rPr>
          <w:rFonts w:ascii="Consolas" w:hAnsi="Consolas"/>
          <w:sz w:val="20"/>
        </w:rPr>
        <w:t>docs/brd/SHARED_FOUNDATION.md</w:t>
      </w:r>
    </w:p>
    <w:p>
      <w:r>
        <w:rPr>
          <w:b/>
        </w:rPr>
        <w:t>Method:</w:t>
      </w:r>
      <w:r>
        <w:t xml:space="preserve"> 5 independent advisors → anonymous peer review → chairman synthesis → adopted improvements.</w:t>
      </w:r>
    </w:p>
    <w:p>
      <w:pPr>
        <w:pStyle w:val="Heading2"/>
      </w:pPr>
      <w:r>
        <w:rPr>
          <w:b/>
          <w:color w:val="1F3864"/>
          <w:sz w:val="30"/>
        </w:rPr>
        <w:t>1. The Five Advisors</w:t>
      </w:r>
    </w:p>
    <w:p>
      <w:pPr>
        <w:pStyle w:val="Heading3"/>
      </w:pPr>
      <w:r>
        <w:rPr>
          <w:b/>
          <w:color w:val="2E5B9E"/>
          <w:sz w:val="26"/>
        </w:rPr>
        <w:t>Advisor 1 — The Proponent</w:t>
      </w:r>
    </w:p>
    <w:p>
      <w:r>
        <w:t xml:space="preserve">This is the strongest single-module BRD in the suite, and rightly so: M13 is the spine every other module hangs documents on, and it is specified as a true enterprise content service, not a file folder. Twenty entities give a coherent, normalised model — </w:t>
      </w:r>
      <w:r>
        <w:rPr>
          <w:rFonts w:ascii="Consolas" w:hAnsi="Consolas"/>
          <w:sz w:val="20"/>
        </w:rPr>
        <w:t>documents</w:t>
      </w:r>
      <w:r>
        <w:t xml:space="preserve"> as a canonical reference with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scan_results</w:t>
      </w:r>
      <w:r>
        <w:t xml:space="preserve">, ACLs, retention, holds, disposition, and an append-only </w:t>
      </w:r>
      <w:r>
        <w:rPr>
          <w:rFonts w:ascii="Consolas" w:hAnsi="Consolas"/>
          <w:sz w:val="20"/>
        </w:rPr>
        <w:t>document_audit</w:t>
      </w:r>
      <w:r>
        <w:t>. The separation of *metadata in Postgres / binaries in object storage / DEKs wrapped by KMS* is exactly the layering Workday/SuccessFactors-class systems use, and envelope encryption with per-classification CMKs (Appendix B) is best practice.</w:t>
      </w:r>
    </w:p>
    <w:p>
      <w:r>
        <w:t xml:space="preserve">The governance story is genuinely world-class for a public-sector archive: WORM enforced at the </w:t>
      </w:r>
      <w:r>
        <w:rPr>
          <w:b/>
        </w:rPr>
        <w:t>storage object-lock layer</w:t>
      </w:r>
      <w:r>
        <w:t xml:space="preserve"> (FR-014, BR-1) rather than only in the app; legal hold that overrides retention (DI-4); maker-checker disposition with </w:t>
      </w:r>
      <w:r>
        <w:rPr>
          <w:rFonts w:ascii="Consolas" w:hAnsi="Consolas"/>
          <w:sz w:val="20"/>
        </w:rPr>
        <w:t>proposed_by ≠ approved_by</w:t>
      </w:r>
      <w:r>
        <w:t xml:space="preserve"> (DI-10) ending in a certified destruction record with a retained tombstone hash; and an explicit "destruction is logical + physical, certificate retained" rule. That is records-management maturity most HRMS vendors never reach.</w:t>
      </w:r>
    </w:p>
    <w:p>
      <w:r>
        <w:t xml:space="preserve">The attach/fetch contract (FR-003 / FR-016) is the right architectural bet — modules store only a </w:t>
      </w:r>
      <w:r>
        <w:rPr>
          <w:rFonts w:ascii="Consolas" w:hAnsi="Consolas"/>
          <w:sz w:val="20"/>
        </w:rPr>
        <w:t>document_id</w:t>
      </w:r>
      <w:r>
        <w:t xml:space="preserve">, never binaries, and link polymorphically through </w:t>
      </w:r>
      <w:r>
        <w:rPr>
          <w:rFonts w:ascii="Consolas" w:hAnsi="Consolas"/>
          <w:sz w:val="20"/>
        </w:rPr>
        <w:t>document_links</w:t>
      </w:r>
      <w:r>
        <w:t xml:space="preserve"> (</w:t>
      </w:r>
      <w:r>
        <w:rPr>
          <w:rFonts w:ascii="Consolas" w:hAnsi="Consolas"/>
          <w:sz w:val="20"/>
        </w:rPr>
        <w:t>module_code</w:t>
      </w:r>
      <w:r>
        <w:t xml:space="preserve"> + </w:t>
      </w:r>
      <w:r>
        <w:rPr>
          <w:rFonts w:ascii="Consolas" w:hAnsi="Consolas"/>
          <w:sz w:val="20"/>
        </w:rPr>
        <w:t>entity_name</w:t>
      </w:r>
      <w:r>
        <w:t xml:space="preserve"> + </w:t>
      </w:r>
      <w:r>
        <w:rPr>
          <w:rFonts w:ascii="Consolas" w:hAnsi="Consolas"/>
          <w:sz w:val="20"/>
        </w:rPr>
        <w:t>entity_ref_id</w:t>
      </w:r>
      <w:r>
        <w:t xml:space="preserve"> + </w:t>
      </w:r>
      <w:r>
        <w:rPr>
          <w:rFonts w:ascii="Consolas" w:hAnsi="Consolas"/>
          <w:sz w:val="20"/>
        </w:rPr>
        <w:t>link_role</w:t>
      </w:r>
      <w:r>
        <w:t xml:space="preserve">). One binary can be PROOF in M02 and EXHIBIT in M09 with two links and no duplication. The deny-by-default, DENY-wins ACL engine with four dimensions (RBAC + relationship + classification + need-to-know), sealed-record hiding from the subject, and authorization </w:t>
      </w:r>
      <w:r>
        <w:rPr>
          <w:b/>
        </w:rPr>
        <w:t>post-filtering</w:t>
      </w:r>
      <w:r>
        <w:t xml:space="preserve"> of search results (not just rank suppression) are correctly stated. DLP auto-classification, dynamic watermarking, PAdES e-sign, redaction, certified true copies, and an immutable audit exportable for e-discovery round out a defensible, statutory-grade design. The error catalog, state tables, and 0-gap reconciliation make it genuinely buildable. This is a credible foundation.</w:t>
      </w:r>
    </w:p>
    <w:p>
      <w:pPr>
        <w:pStyle w:val="Heading3"/>
      </w:pPr>
      <w:r>
        <w:rPr>
          <w:b/>
          <w:color w:val="2E5B9E"/>
          <w:sz w:val="26"/>
        </w:rPr>
        <w:t>Advisor 2 — The Contrarian</w:t>
      </w:r>
    </w:p>
    <w:p>
      <w:r>
        <w:t>The polish hides several load-bearing failures.</w:t>
      </w:r>
    </w:p>
    <w:p>
      <w:r>
        <w:rPr>
          <w:b/>
        </w:rPr>
        <w:t>1. Deduplication structurally breaks the encryption and crypto-shred story.</w:t>
      </w:r>
      <w:r>
        <w:t xml:space="preserve"> DI-6 reuses one </w:t>
      </w:r>
      <w:r>
        <w:rPr>
          <w:rFonts w:ascii="Consolas" w:hAnsi="Consolas"/>
          <w:sz w:val="20"/>
        </w:rPr>
        <w:t>storage_objects</w:t>
      </w:r>
      <w:r>
        <w:t xml:space="preserve"> row for identical </w:t>
      </w:r>
      <w:r>
        <w:rPr>
          <w:rFonts w:ascii="Consolas" w:hAnsi="Consolas"/>
          <w:sz w:val="20"/>
        </w:rPr>
        <w:t>content_hash</w:t>
      </w:r>
      <w:r>
        <w:t xml:space="preserve"> and increments </w:t>
      </w:r>
      <w:r>
        <w:rPr>
          <w:rFonts w:ascii="Consolas" w:hAnsi="Consolas"/>
          <w:sz w:val="20"/>
        </w:rPr>
        <w:t>ref_count</w:t>
      </w:r>
      <w:r>
        <w:t xml:space="preserve">. But each blob has a *unique DEK* and FR-005 BR-1 mandates a *dedicated CMK for CONFIDENTIAL+ separate from INTERNAL/PUBLIC*. If a CONFIDENTIAL doc and an INTERNAL doc share bytes, they share one blob, one DEK, one CMK — you cannot satisfy per-classification key separation and content dedup simultaneously. Worse, dedup makes </w:t>
      </w:r>
      <w:r>
        <w:rPr>
          <w:b/>
        </w:rPr>
        <w:t>crypto-shredding impossible</w:t>
      </w:r>
      <w:r>
        <w:t>: destroying the DEK to render a disposed document irrecoverable would destroy every co-referencing document.</w:t>
      </w:r>
    </w:p>
    <w:p>
      <w:r>
        <w:rPr>
          <w:b/>
        </w:rPr>
        <w:t>2. The dedup oracle leaks existence.</w:t>
      </w:r>
      <w:r>
        <w:t xml:space="preserve"> Dedup keyed on plaintext SHA-256 lets anyone who can upload a *guessed* file observe a hit (faster store, </w:t>
      </w:r>
      <w:r>
        <w:rPr>
          <w:rFonts w:ascii="Consolas" w:hAnsi="Consolas"/>
          <w:sz w:val="20"/>
        </w:rPr>
        <w:t>ref_count</w:t>
      </w:r>
      <w:r>
        <w:t>, the BRD's own "duplicate detected" edge case) and thereby confirm that a specific known document — a particular charge-sheet template, a named salary letter — already exists. That is a confirmation attack on a SECRET store.</w:t>
      </w:r>
    </w:p>
    <w:p>
      <w:r>
        <w:rPr>
          <w:b/>
        </w:rPr>
        <w:t>3. The signed-URL fetch bypasses audit, ACL and watermark.</w:t>
      </w:r>
      <w:r>
        <w:t xml:space="preserve"> FR-016 returns </w:t>
      </w:r>
      <w:r>
        <w:rPr>
          <w:rFonts w:ascii="Consolas" w:hAnsi="Consolas"/>
          <w:sz w:val="20"/>
        </w:rPr>
        <w:t>contentUrl: https://blob.enterprise/...?sig=...</w:t>
      </w:r>
      <w:r>
        <w:t xml:space="preserve">. That URL goes *direct to blob*, not through the gateway that FR-012 says "emits every audit event." So DOWNLOAD via signed URL escapes </w:t>
      </w:r>
      <w:r>
        <w:rPr>
          <w:rFonts w:ascii="Consolas" w:hAnsi="Consolas"/>
          <w:sz w:val="20"/>
        </w:rPr>
        <w:t>document_audit</w:t>
      </w:r>
      <w:r>
        <w:t>, escapes the mandatory CONFIDENTIAL+ watermark (FR-011 BR-3), and is forwardable within TTL — IDOR-by-URL on the most sensitive records, in a system whose entire value is "prove who accessed what."</w:t>
      </w:r>
    </w:p>
    <w:p>
      <w:r>
        <w:rPr>
          <w:b/>
        </w:rPr>
        <w:t>4. `clearance_level` is undefined.</w:t>
      </w:r>
      <w:r>
        <w:t xml:space="preserve"> §3.3 and FR-006 gate everything on </w:t>
      </w:r>
      <w:r>
        <w:rPr>
          <w:rFonts w:ascii="Consolas" w:hAnsi="Consolas"/>
          <w:sz w:val="20"/>
        </w:rPr>
        <w:t>clearance_level ≥ document.classification</w:t>
      </w:r>
      <w:r>
        <w:t xml:space="preserve">, but no field on 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employees</w:t>
      </w:r>
      <w:r>
        <w:t xml:space="preserve"> and no entity stores a principal's clearance. The central access rule references an attribute that does not exist.</w:t>
      </w:r>
    </w:p>
    <w:p>
      <w:r>
        <w:rPr>
          <w:b/>
        </w:rPr>
        <w:t>5. The search index is a second, weaker copy of SECRET content.</w:t>
      </w:r>
      <w:r>
        <w:t xml:space="preserve"> OCR/extracted text is indexed in OpenSearch; post-filtering hides it at query time, but the raw index holds plaintext tokens of CONFIDENTIAL/SECRET documents with no stated encryption-at-rest or exclusion rule — a parallel exfiltration surface outside the encrypted blob store.</w:t>
      </w:r>
    </w:p>
    <w:p>
      <w:r>
        <w:rPr>
          <w:b/>
        </w:rPr>
        <w:t>Risk the author missed:</w:t>
      </w:r>
      <w:r>
        <w:t xml:space="preserve"> </w:t>
      </w:r>
      <w:r>
        <w:rPr>
          <w:b/>
        </w:rPr>
        <w:t>PAdES signatures and the audit log are not durable over the decades these records live.</w:t>
      </w:r>
      <w:r>
        <w:t xml:space="preserve"> A PAdES signature without RFC-3161 trusted timestamping and LTV becomes unverifiable the moment the signer's certificate expires/revokes — guaranteed for 30-year and permanent records. And audit "immutability" is only DB-grant-enforced (DI-3), so a privileged DBA defeats the tamper-evidence the whole module promises. Both must be cryptographically anchored.</w:t>
      </w:r>
    </w:p>
    <w:p>
      <w:pPr>
        <w:pStyle w:val="Heading3"/>
      </w:pPr>
      <w:r>
        <w:rPr>
          <w:b/>
          <w:color w:val="2E5B9E"/>
          <w:sz w:val="26"/>
        </w:rPr>
        <w:t>Advisor 3 — The First Principles Thinker</w:t>
      </w:r>
    </w:p>
    <w:p>
      <w:r>
        <w:t>Strip it to essence: M13 must do three irreducible things — (a) store a byte-stream durably and confidentially, (b) hand other modules a stable reference and a permissioned way to get it back, (c) prove custody (who/when/immutable) for statutory records. Everything else is feature.</w:t>
      </w:r>
    </w:p>
    <w:p>
      <w:r>
        <w:t xml:space="preserve">The hidden assumption is that all of this must be </w:t>
      </w:r>
      <w:r>
        <w:rPr>
          <w:b/>
        </w:rPr>
        <w:t>built</w:t>
      </w:r>
      <w:r>
        <w:t>. The BRD silently specifies an in-house OpenText/Documentum/Veeva-Vault — *plus* DocuSign (FR-010), *plus* AWS Macie (DLP, FR-016), *plus* Textract (OCR, FR-008), *plus* a redaction studio (FR-011). That is four mature commercial categories rebuilt at once. The justification — "CGG on-prem enterprise cloud" — is real but unstated, and it is doing enormous work. If managed/COTS services *are* reachable, most of FR-008/010/011/016's engine logic is buy-not-build and the BRD should specify *integration contracts*, not *implementations*.</w:t>
      </w:r>
    </w:p>
    <w:p>
      <w:r>
        <w:t xml:space="preserve">The cleaner decomposition is </w:t>
      </w:r>
      <w:r>
        <w:rPr>
          <w:b/>
        </w:rPr>
        <w:t>object store + thin metadata + pluggable services</w:t>
      </w:r>
      <w:r>
        <w:t>: S3-compatible object-lock for durability/WORM, KMS for keys, a small metadata/ACL/audit core (the genuinely bespoke part — the four-dimensional authorization engine and the attach/fetch contract are the real intellectual property here), and *adapters* to AV, OCR, DLP, and signing providers behind interfaces. The BRD half-acknowledges this (</w:t>
      </w:r>
      <w:r>
        <w:rPr>
          <w:rFonts w:ascii="Consolas" w:hAnsi="Consolas"/>
          <w:sz w:val="20"/>
        </w:rPr>
        <w:t>StorageProvider</w:t>
      </w:r>
      <w:r>
        <w:t xml:space="preserve"> interface, FR-016) but only for storage; it should apply the same provider-abstraction discipline to AV/OCR/DLP/PKI so the build is a *thin orchestration layer*, not a content-processing platform.</w:t>
      </w:r>
    </w:p>
    <w:p>
      <w:r>
        <w:t xml:space="preserve">A second first-principles tension: </w:t>
      </w:r>
      <w:r>
        <w:rPr>
          <w:b/>
        </w:rPr>
        <w:t>WORM + dedup + crypto-shred + DPDP erasure cannot all be literally true.</w:t>
      </w:r>
      <w:r>
        <w:t xml:space="preserve"> Immutability says "never change the bytes"; dedup says "share the bytes"; crypto-shred says "destroy the key to forget"; DPDP erasure says "remove this person's data on request." These pull in four directions and the BRD treats each in isolation. The honest model names the *precedence lattice*: statutory retention / legal hold &gt; WORM &gt; DPDP erasure (via legal-basis exemption, fulfilled by crypto-shred only where no shared blob), and dedup is permitted *only within a single key/classification/security domain* so shredding is local. Make the lattice explicit and the contradictions dissolve.</w:t>
      </w:r>
    </w:p>
    <w:p>
      <w:pPr>
        <w:pStyle w:val="Heading3"/>
      </w:pPr>
      <w:r>
        <w:rPr>
          <w:b/>
          <w:color w:val="2E5B9E"/>
          <w:sz w:val="26"/>
        </w:rPr>
        <w:t>Advisor 4 — The Outsider</w:t>
      </w:r>
    </w:p>
    <w:p>
      <w:r>
        <w:t>I am the records clerk and the M07 developer who must *use* this. Two problems: it is intimidating, and a few simple things are missing under the sophistication.</w:t>
      </w:r>
    </w:p>
    <w:p>
      <w:r>
        <w:t>The vocabulary wall is real — PAdES, envelope encryption, wrapped DEK, object-lock retain-until, crypto-shred, ICAP, deferrable FK, "convergent" dedup. There is no one-paragraph "what happens when I drag a PDF in" story for a non-engineer, and the glossary, while present, sits at the very end. A enterprise records officer approving a disposition needs a plain narrative, not a state table.</w:t>
      </w:r>
    </w:p>
    <w:p>
      <w:r>
        <w:t xml:space="preserve">The </w:t>
      </w:r>
      <w:r>
        <w:rPr>
          <w:b/>
        </w:rPr>
        <w:t>role roster is overloaded and overlapping</w:t>
      </w:r>
      <w:r>
        <w:t>: Document Owner vs Employee (Self-Service) do nearly the same thing; "DMS Librarian / Records Officer" vs "Records Manager (Custodian)" vs "Security/DLP Officer" split duties in ways that will confuse a 200-person office that has *one* person doing all three. Nine module roles on top of the nine shared roles is a lot to provision. And the matrix gates everything on a "clearance level" the org has no obvious process to *assign* — who decides a clerk is CONFIDENTIAL-cleared, and where is that recorded?</w:t>
      </w:r>
    </w:p>
    <w:p>
      <w:r>
        <w:t xml:space="preserve">For the integrating developer, the attach example is good but the </w:t>
      </w:r>
      <w:r>
        <w:rPr>
          <w:b/>
        </w:rPr>
        <w:t>fetch contract is ambiguous on the most basic question</w:t>
      </w:r>
      <w:r>
        <w:t xml:space="preserve">: if I have VIEW but not DOWNLOAD, what does </w:t>
      </w:r>
      <w:r>
        <w:rPr>
          <w:rFonts w:ascii="Consolas" w:hAnsi="Consolas"/>
          <w:sz w:val="20"/>
        </w:rPr>
        <w:t>:fetch</w:t>
      </w:r>
      <w:r>
        <w:t xml:space="preserve"> give me? It returns a </w:t>
      </w:r>
      <w:r>
        <w:rPr>
          <w:rFonts w:ascii="Consolas" w:hAnsi="Consolas"/>
          <w:sz w:val="20"/>
        </w:rPr>
        <w:t>contentUrl</w:t>
      </w:r>
      <w:r>
        <w:t xml:space="preserve"> to the raw file either way — so VIEW-only leaks the downloadable bytes. A normal developer will not notice the watermark/audit subtlety and will happily expose the URL. The contract should make "view = streamed watermarked render" and "download = file" *structurally different responses*, so the easy path is the safe path. Finally, "print is audited" reads as a promise the Outsider knows browsers cannot keep; Appendix D admits it — but the permission matrix and FR-012 still say P/print as if it were enforced. Be honest in the body, not only the appendix.</w:t>
      </w:r>
    </w:p>
    <w:p>
      <w:pPr>
        <w:pStyle w:val="Heading3"/>
      </w:pPr>
      <w:r>
        <w:rPr>
          <w:b/>
          <w:color w:val="2E5B9E"/>
          <w:sz w:val="26"/>
        </w:rPr>
        <w:t>Advisor 5 — The Executor</w:t>
      </w:r>
    </w:p>
    <w:p>
      <w:r>
        <w:t xml:space="preserve">Feasibility is high but the </w:t>
      </w:r>
      <w:r>
        <w:rPr>
          <w:b/>
        </w:rPr>
        <w:t>sequencing buries the real critical path</w:t>
      </w:r>
      <w:r>
        <w:t xml:space="preserve">. M13 is the long pole for the *entire program*: M01–M12 cannot finish their document features until M13's attach/fetch contract and </w:t>
      </w:r>
      <w:r>
        <w:rPr>
          <w:rFonts w:ascii="Consolas" w:hAnsi="Consolas"/>
          <w:sz w:val="20"/>
        </w:rPr>
        <w:t>documents</w:t>
      </w:r>
      <w:r>
        <w:t xml:space="preserve"> entity exist. The build order (§16.2) correctly starts with storage+KMS, but it treats M13 as self-contained. In reality the </w:t>
      </w:r>
      <w:r>
        <w:rPr>
          <w:b/>
        </w:rPr>
        <w:t>Monday step is: freeze and publish a stub/mock attach/fetch contract (`:attach`, `:fetch`, error catalog, `document_id` semantics) on day one</w:t>
      </w:r>
      <w:r>
        <w:t xml:space="preserve"> so all 13 other module teams develop against a contract while M13's internals are built behind it. Without that, M13 serialises the whole suite.</w:t>
      </w:r>
    </w:p>
    <w:p>
      <w:r>
        <w:t xml:space="preserve">Dependencies that will bite: (1) </w:t>
      </w:r>
      <w:r>
        <w:rPr>
          <w:b/>
        </w:rPr>
        <w:t>KMS is a single point of catastrophic failure</w:t>
      </w:r>
      <w:r>
        <w:t xml:space="preserve"> — "KMS down ⇒ 503, no plaintext fallback" is correct security but there is no key-DR/escrow/recovery runbook; lose or corrupt a CMK and every document is permanently dark. That is the #1 availability risk and it is unspecified. (2) </w:t>
      </w:r>
      <w:r>
        <w:rPr>
          <w:b/>
        </w:rPr>
        <w:t>Object-lock semantics differ by provider</w:t>
      </w:r>
      <w:r>
        <w:t xml:space="preserve"> — true WORM (S3 Object Lock COMPLIANCE mode) vs the "enterprise blob" backend may not be equivalent; the WORM guarantee must be proven on the *actual* CGG storage before FR-014 is credible (the launch checklist has one line for this — good, but it should be a gating spike, not a checkbox). (3) </w:t>
      </w:r>
      <w:r>
        <w:rPr>
          <w:b/>
        </w:rPr>
        <w:t>AV/OCR/DLP/PKI are four external integrations</w:t>
      </w:r>
      <w:r>
        <w:t>, each with its own latency, outage, and licensing reality; the async pipeline (scan→OCR→index→DLP) is correct but needs a durable queue, dead-letter handling, and back-pressure that the BRD only gestures at.</w:t>
      </w:r>
    </w:p>
    <w:p>
      <w:r>
        <w:t>Practical scope cut for v1: defer redaction (FR-011 redaction), certified-copy studio, and DRAWN e-sign; ship upload + encryption + WORM + audit + attach/fetch + access control + AV first. That is the bulletproof core; the rest is fast-follow. Estimate the bespoke authorization engine and the audit-immutability work as the highest-risk, longest-pole *code*, distinct from the integrations.</w:t>
      </w:r>
    </w:p>
    <w:p>
      <w:pPr>
        <w:pStyle w:val="Heading2"/>
      </w:pPr>
      <w:r>
        <w:rPr>
          <w:b/>
          <w:color w:val="1F3864"/>
          <w:sz w:val="30"/>
        </w:rPr>
        <w:t>2. Anonymous Peer Review</w:t>
      </w:r>
    </w:p>
    <w:p>
      <w:r>
        <w:t>*Advisors anonymised A–E (A=Proponent, B=Contrarian, C=First Principles, D=Outsider, E=Executor).*</w:t>
      </w:r>
    </w:p>
    <w:p>
      <w:r>
        <w:rPr>
          <w:b/>
        </w:rPr>
        <w:t>Reviewer 1 (on B, the Contrarian).</w:t>
      </w:r>
    </w:p>
    <w:p>
      <w:r>
        <w:t>*Strongest:* The dedup-vs-CMK-vs-crypto-shred contradiction (B-1) is the single most important finding — it is a genuine architectural impossibility, not a nitpick, and it cascades into disposition and DPDP. Convincing because it ties three "good" rules into a knot.</w:t>
      </w:r>
    </w:p>
    <w:p>
      <w:r>
        <w:t>*Biggest blind spot:* B asserts the signed URL bypasses audit but doesn't acknowledge the BRD's own NFR ("no raw storage keys to clients") shows *intent* to proxy — B should distinguish "wrong" from "underspecified."</w:t>
      </w:r>
    </w:p>
    <w:p>
      <w:r>
        <w:t xml:space="preserve">*Missed by all five:* No one costed the </w:t>
      </w:r>
      <w:r>
        <w:rPr>
          <w:b/>
        </w:rPr>
        <w:t>migration</w:t>
      </w:r>
      <w:r>
        <w:t xml:space="preserve"> risk — re-ingesting decades of legacy scans through scan+OCR+dedup+encrypt is a multi-month batch with its own failure modes (§15 is one page).</w:t>
      </w:r>
    </w:p>
    <w:p>
      <w:r>
        <w:rPr>
          <w:b/>
        </w:rPr>
        <w:t>Reviewer 2 (on C, the First Principles Thinker).</w:t>
      </w:r>
    </w:p>
    <w:p>
      <w:r>
        <w:t>*Strongest:* Naming the precedence lattice (retention/hold &gt; WORM &gt; erasure; dedup only within a key domain) is the unifying insight that resolves four scattered contradictions at once.</w:t>
      </w:r>
    </w:p>
    <w:p>
      <w:r>
        <w:t>*Biggest blind spot:* C's "buy not build" is right in spirit but hand-waves that the *enterprise on-prem* constraint may genuinely forbid SaaS DocuSign/Macie/Textract for PII — the build may be forced, and C should weigh data-sovereignty before recommending COTS.</w:t>
      </w:r>
    </w:p>
    <w:p>
      <w:r>
        <w:t xml:space="preserve">*Missed by all five:* </w:t>
      </w:r>
      <w:r>
        <w:rPr>
          <w:b/>
        </w:rPr>
        <w:t>Backup/restore of the metadata Postgres</w:t>
      </w:r>
      <w:r>
        <w:t xml:space="preserve"> and its consistency with the immutable object store and KMS — a point-in-time DB restore could resurrect a disposed document's metadata while its blob is gone (or vice-versa).</w:t>
      </w:r>
    </w:p>
    <w:p>
      <w:r>
        <w:rPr>
          <w:b/>
        </w:rPr>
        <w:t>Reviewer 3 (on A, the Proponent).</w:t>
      </w:r>
    </w:p>
    <w:p>
      <w:r>
        <w:t>*Strongest:* Correctly identifies the attach/fetch contract and four-dimension ACL as the real, irreplaceable IP — the part worth building well.</w:t>
      </w:r>
    </w:p>
    <w:p>
      <w:r>
        <w:t>*Biggest blind spot:* A praises "audit immutability" at face value (DI-3) without noticing it is only DB-grant-enforced and defeatable by a DBA — the very claim the module sells.</w:t>
      </w:r>
    </w:p>
    <w:p>
      <w:r>
        <w:t xml:space="preserve">*Missed by all five:* </w:t>
      </w:r>
      <w:r>
        <w:rPr>
          <w:b/>
        </w:rPr>
        <w:t>Notifications leak metadata</w:t>
      </w:r>
      <w:r>
        <w:t xml:space="preserve"> — emails like "Action: sign {docNo}" / "Legal hold {holdNo}" route document and matter identifiers through email; for SECRET/sealed matters even the existence is sensitive (the BRD says "omit content" but not "omit identifiers for sealed/SECRET").</w:t>
      </w:r>
    </w:p>
    <w:p>
      <w:r>
        <w:rPr>
          <w:b/>
        </w:rPr>
        <w:t>Reviewer 4 (on E, the Executor).</w:t>
      </w:r>
    </w:p>
    <w:p>
      <w:r>
        <w:t>*Strongest:* "Publish the stub attach/fetch contract on day one" is the highest-leverage action in the whole report — it unblocks 13 teams and de-risks the program critical path.</w:t>
      </w:r>
    </w:p>
    <w:p>
      <w:r>
        <w:t>*Biggest blind spot:* E defers redaction/certified-copy but for a *statutory* archive certified true copies are a legal necessity (RTI/disclosure), not a nice-to-have — the cut may be wrong for public sector.</w:t>
      </w:r>
    </w:p>
    <w:p>
      <w:r>
        <w:t xml:space="preserve">*Missed by all five:* </w:t>
      </w:r>
      <w:r>
        <w:rPr>
          <w:b/>
        </w:rPr>
        <w:t>No SoD on legal-hold *release</w:t>
      </w:r>
      <w:r>
        <w:t>*. Placement and release are both "Legal Hold Admin"; release re-enables destruction and is the single most dangerous action in e-discovery — it needs dual control, which the BRD requires for disposition but not for the hold that gates it.</w:t>
      </w:r>
    </w:p>
    <w:p>
      <w:r>
        <w:rPr>
          <w:b/>
        </w:rPr>
        <w:t>Reviewer 5 (on D, the Outsider).</w:t>
      </w:r>
    </w:p>
    <w:p>
      <w:r>
        <w:t>*Strongest:* The VIEW-vs-DOWNLOAD fetch ambiguity is a usability finding that is *also* a security finding — "make the easy path the safe path" is exactly right and developers will get it wrong as written.</w:t>
      </w:r>
    </w:p>
    <w:p>
      <w:r>
        <w:t>*Biggest blind spot:* D underweights that the role overlap is partly deliberate SoD (placer ≠ approver) — collapsing roles naively would *break* segregation; the fix is clearer naming/provisioning, not fewer roles.</w:t>
      </w:r>
    </w:p>
    <w:p>
      <w:r>
        <w:t xml:space="preserve">*Missed by all five:* </w:t>
      </w:r>
      <w:r>
        <w:rPr>
          <w:b/>
        </w:rPr>
        <w:t>Anti-brute-force on `/shared/{token}` and break-glass</w:t>
      </w:r>
      <w:r>
        <w:t xml:space="preserve"> — opaque token + bcrypt password is good, but there is no rate-limit/lockout on password attempts against a public link endpoint.</w:t>
      </w:r>
    </w:p>
    <w:p>
      <w:pPr>
        <w:pStyle w:val="Heading2"/>
      </w:pPr>
      <w:r>
        <w:rPr>
          <w:b/>
          <w:color w:val="1F3864"/>
          <w:sz w:val="30"/>
        </w:rPr>
        <w:t>3. Chairman Synthesis</w:t>
      </w:r>
    </w:p>
    <w:p>
      <w:pPr>
        <w:pStyle w:val="Heading3"/>
      </w:pPr>
      <w:r>
        <w:rPr>
          <w:b/>
          <w:color w:val="2E5B9E"/>
          <w:sz w:val="26"/>
        </w:rPr>
        <w:t>Agreements (high consensus)</w:t>
      </w:r>
    </w:p>
    <w:p>
      <w:pPr>
        <w:pStyle w:val="ListBullet"/>
      </w:pPr>
      <w:r>
        <w:t xml:space="preserve">The </w:t>
      </w:r>
      <w:r>
        <w:rPr>
          <w:b/>
        </w:rPr>
        <w:t>attach/fetch contract + four-dimensional deny-by-default ACL + storage/KMS/WORM/audit core</w:t>
      </w:r>
      <w:r>
        <w:t xml:space="preserve"> is the right, world-class skeleton and the genuine IP worth building.</w:t>
      </w:r>
    </w:p>
    <w:p>
      <w:pPr>
        <w:pStyle w:val="ListBullet"/>
      </w:pPr>
      <w:r>
        <w:t xml:space="preserve">The BRD is </w:t>
      </w:r>
      <w:r>
        <w:rPr>
          <w:b/>
        </w:rPr>
        <w:t>strong on governance</w:t>
      </w:r>
      <w:r>
        <w:t xml:space="preserve"> (WORM at storage layer, legal hold &gt; retention, maker-checker disposition, tombstones) — ahead of most commercial HRMS.</w:t>
      </w:r>
    </w:p>
    <w:p>
      <w:pPr>
        <w:pStyle w:val="ListBullet"/>
      </w:pPr>
      <w:r>
        <w:t xml:space="preserve">Several "individually correct" rules </w:t>
      </w:r>
      <w:r>
        <w:rPr>
          <w:b/>
        </w:rPr>
        <w:t>collide</w:t>
      </w:r>
      <w:r>
        <w:t>: dedup, per-classification CMK, crypto-shred, WORM, and DPDP erasure cannot all be literally satisfied without an explicit precedence lattice and a dedup security-domain boundary.</w:t>
      </w:r>
    </w:p>
    <w:p>
      <w:pPr>
        <w:pStyle w:val="ListBullet"/>
      </w:pPr>
      <w:r>
        <w:t xml:space="preserve">The </w:t>
      </w:r>
      <w:r>
        <w:rPr>
          <w:b/>
        </w:rPr>
        <w:t>signed-URL fetch</w:t>
      </w:r>
      <w:r>
        <w:t xml:space="preserve"> as written undermines audit, watermark, and the VIEW/DOWNLOAD distinction — the system's core promises.</w:t>
      </w:r>
    </w:p>
    <w:p>
      <w:pPr>
        <w:pStyle w:val="Heading3"/>
      </w:pPr>
      <w:r>
        <w:rPr>
          <w:b/>
          <w:color w:val="2E5B9E"/>
          <w:sz w:val="26"/>
        </w:rPr>
        <w:t>Clashes</w:t>
      </w:r>
    </w:p>
    <w:p>
      <w:pPr>
        <w:pStyle w:val="ListBullet"/>
      </w:pPr>
      <w:r>
        <w:rPr>
          <w:b/>
        </w:rPr>
        <w:t>Build vs buy (C vs A/E):</w:t>
      </w:r>
      <w:r>
        <w:t xml:space="preserve"> C wants a thin orchestration layer over COTS AV/OCR/DLP/PKI; A/E note the enterprise on-prem/sovereignty constraint may force the build. *Resolution: not fundamental — adopt provider-abstraction for all four engines (already done for storage) so build-vs-buy becomes a deployment choice, not an architecture rewrite.*</w:t>
      </w:r>
    </w:p>
    <w:p>
      <w:pPr>
        <w:pStyle w:val="ListBullet"/>
      </w:pPr>
      <w:r>
        <w:rPr>
          <w:b/>
        </w:rPr>
        <w:t>Scope cut (E vs Reviewer 4):</w:t>
      </w:r>
      <w:r>
        <w:t xml:space="preserve"> E defers certified copies/redaction; Reviewer 4 says certified true copies are statutorily mandatory. *Resolution below (focused pass).*</w:t>
      </w:r>
    </w:p>
    <w:p>
      <w:pPr>
        <w:pStyle w:val="Heading3"/>
      </w:pPr>
      <w:r>
        <w:rPr>
          <w:b/>
          <w:color w:val="2E5B9E"/>
          <w:sz w:val="26"/>
        </w:rPr>
        <w:t>Blind spots none caught well</w:t>
      </w:r>
    </w:p>
    <w:p>
      <w:pPr>
        <w:pStyle w:val="ListBullet"/>
      </w:pPr>
      <w:r>
        <w:t xml:space="preserve">Legacy </w:t>
      </w:r>
      <w:r>
        <w:rPr>
          <w:b/>
        </w:rPr>
        <w:t>migration</w:t>
      </w:r>
      <w:r>
        <w:t xml:space="preserve"> scale/risk (one page for a multi-month, multi-million-file batch).</w:t>
      </w:r>
    </w:p>
    <w:p>
      <w:pPr>
        <w:pStyle w:val="ListBullet"/>
      </w:pPr>
      <w:r>
        <w:rPr>
          <w:b/>
        </w:rPr>
        <w:t>DB restore vs immutable-store/KMS consistency</w:t>
      </w:r>
      <w:r>
        <w:t xml:space="preserve"> (restore can resurrect disposed metadata).</w:t>
      </w:r>
    </w:p>
    <w:p>
      <w:pPr>
        <w:pStyle w:val="ListBullet"/>
      </w:pPr>
      <w:r>
        <w:rPr>
          <w:b/>
        </w:rPr>
        <w:t>Notification metadata leakage</w:t>
      </w:r>
      <w:r>
        <w:t xml:space="preserve"> for sealed/SECRET matters.</w:t>
      </w:r>
    </w:p>
    <w:p>
      <w:pPr>
        <w:pStyle w:val="Heading3"/>
      </w:pPr>
      <w:r>
        <w:rPr>
          <w:b/>
          <w:color w:val="2E5B9E"/>
          <w:sz w:val="26"/>
        </w:rPr>
        <w:t>Idea evolution</w:t>
      </w:r>
    </w:p>
    <w:p>
      <w:r>
        <w:t xml:space="preserve">The proposal should evolve from "a comprehensive ECM we will build" to "a </w:t>
      </w:r>
      <w:r>
        <w:rPr>
          <w:b/>
        </w:rPr>
        <w:t>thin, bespoke custody-and-contract core</w:t>
      </w:r>
      <w:r>
        <w:t xml:space="preserve"> (documents, attach/fetch, four-dimensional ACL, cryptographically-anchored audit, WORM/retention/hold lattice) wrapping </w:t>
      </w:r>
      <w:r>
        <w:rPr>
          <w:b/>
        </w:rPr>
        <w:t>provider-abstracted engines</w:t>
      </w:r>
      <w:r>
        <w:t xml:space="preserve"> (AV/OCR/DLP/PKI/storage), governed by an explicit precedence lattice, with the contract frozen and stubbed on day one." That keeps every strength, removes the contradictions, and de-risks the program critical path.</w:t>
      </w:r>
    </w:p>
    <w:p>
      <w:pPr>
        <w:pStyle w:val="Heading3"/>
      </w:pPr>
      <w:r>
        <w:rPr>
          <w:b/>
          <w:color w:val="2E5B9E"/>
          <w:sz w:val="26"/>
        </w:rPr>
        <w:t>Focused second pass — the one FUNDAMENTAL clash (certified copies: defer vs mandatory)</w:t>
      </w:r>
    </w:p>
    <w:p>
      <w:r>
        <w:t xml:space="preserve">Resolution: </w:t>
      </w:r>
      <w:r>
        <w:rPr>
          <w:b/>
        </w:rPr>
        <w:t>Split FR-011.</w:t>
      </w:r>
      <w:r>
        <w:t xml:space="preserve"> Watermarking and </w:t>
      </w:r>
      <w:r>
        <w:rPr>
          <w:b/>
        </w:rPr>
        <w:t>certified true copies are v1</w:t>
      </w:r>
      <w:r>
        <w:t xml:space="preserve"> (statutory/RTI necessity, and certified copies are simple stamped+optionally-signed renditions reusing the version+WORM machinery already built). </w:t>
      </w:r>
      <w:r>
        <w:rPr>
          <w:b/>
        </w:rPr>
        <w:t>Interactive redaction is fast-follow</w:t>
      </w:r>
      <w:r>
        <w:t xml:space="preserve"> (it is a genuine studio with irreversibility-verification complexity and lower day-one demand; disclosure can be served by certified copy + manual redaction interim). This satisfies both the statutory obligation (Reviewer 4) and the risk-based sequencing (E).</w:t>
      </w:r>
    </w:p>
    <w:p>
      <w:pPr>
        <w:pStyle w:val="Heading3"/>
      </w:pPr>
      <w:r>
        <w:rPr>
          <w:b/>
          <w:color w:val="2E5B9E"/>
          <w:sz w:val="26"/>
        </w:rPr>
        <w:t>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 vs per-classification CMK vs crypto-shred contradiction (cannot satisfy all)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Scope dedup to one classification/key/security domain; add </w:t>
            </w:r>
            <w:r>
              <w:rPr>
                <w:rFonts w:ascii="Consolas" w:hAnsi="Consolas"/>
                <w:sz w:val="18"/>
              </w:rPr>
              <w:t>key_scope</w:t>
            </w:r>
            <w:r>
              <w:rPr>
                <w:sz w:val="18"/>
              </w:rPr>
              <w:t xml:space="preserve"> to </w:t>
            </w:r>
            <w:r>
              <w:rPr>
                <w:rFonts w:ascii="Consolas" w:hAnsi="Consolas"/>
                <w:sz w:val="18"/>
              </w:rPr>
              <w:t>storage_objects</w:t>
            </w:r>
            <w:r>
              <w:rPr>
                <w:sz w:val="18"/>
              </w:rPr>
              <w:t>; never dedup cross-classification; document that shared blobs preclude crypto-shred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Signed-URL fetch bypasses audit, watermark, ACL; forwardable IDOR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Bind signed URL to user+session(+IP), short TTL, one-time use; route downloads through audited proxy; split VIEW (watermarked render) vs DOWNLOAD (file)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clearance_level</w:t>
            </w:r>
            <w:r>
              <w:rPr>
                <w:sz w:val="18"/>
              </w:rPr>
              <w:t xml:space="preserve"> referenced but undefined in the data model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clearance attribute/entity for principals; define assignment workflow +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PAdES signatures not durable (no RFC-3161 TSA / LTV) for decade-long 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trusted timestamp + PAdES-LTV (OCSP/CRL embedding); store timestamp tokens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 log immutability only DB-grant-enforced; defeatable by DBA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 / Rev3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Hash-chain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>); periodically anchor to WORM/external notary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KMS is single point of catastrophic, unrecoverable failure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CMK backup/escrow, multi-region/HSM replication, key-recovery runbook; key-loss behavior defined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 index = unencrypted second copy of SECRET 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Encrypt index at rest, access-scope it; exclude SECRET/TOP_SECRET full-text (metadata-only) or per-domain index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erasure vs statutory retention/WORM/hold unreconciled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Precedence lattice + BR: statutory/legal-basis exemption overrides erasure; else crypto-shred; data-subject-request entity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Dedup oracle confirms existence of known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Scope dedup to security domain; suppress user-visible dedup signals; consider keyed hash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Legal-hold release has no SoD; re-enables destruction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 control + reason on hold *release* (and high-value placement); audit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 hold (SAVED_SEARCH/EMPLOYEE) doesn't capture future-matching docs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Continuous-evaluation job auto-holds new matches while active; custodian hold-notice + acknowledgement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Disposition on stale/incorrect retention anchor (no event contract)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Event-driven anchor recompute (M01/M09/M11 outbox); block auto-destroy without confirmed final anchor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Over-build: rebuilding DocuSign+Macie+Textract+ECM at once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Med-High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 /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Provider-abstract AV/OCR/DLP/PKI behind interfaces; thin orchestration; phase advanced FRs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 serialises the whole program (critical-path long pole)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Freeze + publish stubbed attach/fetch contract day one; 13 teams build against mock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Orphaned documents have no owner/lifecycle (only "flagged")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Orphan-reaper FR/job + default retention + review queue + state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No anti-brute-force on </w:t>
            </w:r>
            <w:r>
              <w:rPr>
                <w:rFonts w:ascii="Consolas" w:hAnsi="Consolas"/>
                <w:sz w:val="18"/>
              </w:rPr>
              <w:t>/shared/{token}</w:t>
            </w:r>
            <w:r>
              <w:rPr>
                <w:sz w:val="18"/>
              </w:rPr>
              <w:t xml:space="preserve"> password / break-glass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Rate-limit + lockout + alerting on share/break-glass auth attempts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OCR/preview/render workers DoS-able by crafted files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Sandbox renderers; resource/decompression limits beyond AV archive-depth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migration scale/risk underspecified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Treat as a gated programme: phased ingest, reconciliation SLAs, failure/dead-letter handling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DB point-in-time restore vs immutable store/KMS inconsistency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Restore runbook reconciling metadata with disposed blobs/keys; consistency checks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 leak doc/matter identifiers for sealed/SECRET 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Suppress identifiers for sealed/SECRET; generic notice + in-app secure retrieval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residency/sovereignty of replicas unspecified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NFR: all replicas (incl. cross-zone) in-country; DPDP localisation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TOP_SECRET + heavy check-in/out are likely over-engineering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Low-Med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 /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Drop/justify TOP_SECRET; make check-out optional per type (M13 doesn't author content)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Recommendation</w:t>
      </w:r>
    </w:p>
    <w:p>
      <w:r>
        <w:rPr>
          <w:b/>
        </w:rPr>
        <w:t>Proceed — the BRD is a strong, defensible foundation — but it is not yet bulletproof.</w:t>
      </w:r>
      <w:r>
        <w:t xml:space="preserve"> Treat v2 as a *correctness and contradiction-resolution* pass, not a rewrite. The skeleton (entities, attach/fetch, ACL, WORM, audit, governance) stays. Fix the four Critical items (R1–R4) and the audit-immutability + KMS-DR + search-index + DPDP-lattice High items before build, freeze the contract day one, abstract the four engines, and phase redaction as fast-follow. Done, this is best-in-class for a statutory PrimeSoft HRMS.</w:t>
      </w:r>
    </w:p>
    <w:p>
      <w:pPr>
        <w:pStyle w:val="Heading3"/>
      </w:pPr>
      <w:r>
        <w:rPr>
          <w:b/>
          <w:color w:val="2E5B9E"/>
          <w:sz w:val="26"/>
        </w:rPr>
        <w:t>The One Thing To Do First</w:t>
      </w:r>
    </w:p>
    <w:p>
      <w:r>
        <w:rPr>
          <w:b/>
        </w:rPr>
        <w:t>Freeze and publish the stubbed attach/fetch contract and `documents` entity (with the corrected VIEW-vs-DOWNLOAD fetch and a defined `clearance_level`) on day one</w:t>
      </w:r>
      <w:r>
        <w:t xml:space="preserve"> — it is the program's critical path that unblocks all 13 other modules, and pinning it now forces resolution of the fetch/audit/watermark hole (R2) and the clearance gap (R3) before they calcify.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Define `clearance_level`.</w:t>
      </w:r>
      <w:r>
        <w:t xml:space="preserve"> Add a principal-clearance attribute (new </w:t>
      </w:r>
      <w:r>
        <w:rPr>
          <w:rFonts w:ascii="Consolas" w:hAnsi="Consolas"/>
          <w:sz w:val="20"/>
        </w:rPr>
        <w:t>security_clearances</w:t>
      </w:r>
      <w:r>
        <w:t xml:space="preserve"> entity or </w:t>
      </w:r>
      <w:r>
        <w:rPr>
          <w:rFonts w:ascii="Consolas" w:hAnsi="Consolas"/>
          <w:sz w:val="20"/>
        </w:rPr>
        <w:t>users.clearance_level</w:t>
      </w:r>
      <w:r>
        <w:t xml:space="preserve"> field) plus an assignment/approval workflow and audit; FR-006/§3.3 must reference a real field. *(R3)*</w:t>
      </w:r>
    </w:p>
    <w:p>
      <w:pPr>
        <w:pStyle w:val="ListNumber"/>
      </w:pPr>
      <w:r>
        <w:rPr>
          <w:b/>
        </w:rPr>
        <w:t>Resolve dedup vs key-separation.</w:t>
      </w:r>
      <w:r>
        <w:t xml:space="preserve"> Add </w:t>
      </w:r>
      <w:r>
        <w:rPr>
          <w:rFonts w:ascii="Consolas" w:hAnsi="Consolas"/>
          <w:sz w:val="20"/>
        </w:rPr>
        <w:t>key_scope</w:t>
      </w:r>
      <w:r>
        <w:t>/</w:t>
      </w:r>
      <w:r>
        <w:rPr>
          <w:rFonts w:ascii="Consolas" w:hAnsi="Consolas"/>
          <w:sz w:val="20"/>
        </w:rPr>
        <w:t>security_domain</w:t>
      </w:r>
      <w:r>
        <w:t xml:space="preserve"> to </w:t>
      </w:r>
      <w:r>
        <w:rPr>
          <w:rFonts w:ascii="Consolas" w:hAnsi="Consolas"/>
          <w:sz w:val="20"/>
        </w:rPr>
        <w:t>storage_objects</w:t>
      </w:r>
      <w:r>
        <w:t xml:space="preserve">; permit dedup </w:t>
      </w:r>
      <w:r>
        <w:rPr>
          <w:b/>
        </w:rPr>
        <w:t>only within one classification/key domain</w:t>
      </w:r>
      <w:r>
        <w:t>; prohibit cross-classification dedup; state explicitly that shared blobs preclude crypto-shred. *(R1, R9)*</w:t>
      </w:r>
    </w:p>
    <w:p>
      <w:pPr>
        <w:pStyle w:val="ListNumber"/>
      </w:pPr>
      <w:r>
        <w:rPr>
          <w:b/>
        </w:rPr>
        <w:t>Eliminate the dedup oracle.</w:t>
      </w:r>
      <w:r>
        <w:t xml:space="preserve"> Scope dedup per security domain, suppress user-visible "duplicate detected" signals, and consider a keyed/HMAC dedup index; add a rule that dedup never reveals existence across principals. *(R9)*</w:t>
      </w:r>
    </w:p>
    <w:p>
      <w:pPr>
        <w:pStyle w:val="ListNumber"/>
      </w:pPr>
      <w:r>
        <w:rPr>
          <w:b/>
        </w:rPr>
        <w:t>Fix the fetch contract.</w:t>
      </w:r>
      <w:r>
        <w:t xml:space="preserve"> Make </w:t>
      </w:r>
      <w:r>
        <w:rPr>
          <w:rFonts w:ascii="Consolas" w:hAnsi="Consolas"/>
          <w:sz w:val="20"/>
        </w:rPr>
        <w:t>:fetch</w:t>
      </w:r>
      <w:r>
        <w:t xml:space="preserve"> return </w:t>
      </w:r>
      <w:r>
        <w:rPr>
          <w:b/>
        </w:rPr>
        <w:t>structurally different</w:t>
      </w:r>
      <w:r>
        <w:t xml:space="preserve"> responses for VIEW (short-TTL, one-time, session/user-bound *streamed watermarked render* through an audited proxy) vs DOWNLOAD (file, only with DOWNLOAD right); never hand a raw forwardable blob URL for CONFIDENTIAL+; ensure every served byte writes </w:t>
      </w:r>
      <w:r>
        <w:rPr>
          <w:rFonts w:ascii="Consolas" w:hAnsi="Consolas"/>
          <w:sz w:val="20"/>
        </w:rPr>
        <w:t>document_audit</w:t>
      </w:r>
      <w:r>
        <w:t>. *(R2)*</w:t>
      </w:r>
    </w:p>
    <w:p>
      <w:pPr>
        <w:pStyle w:val="ListNumber"/>
      </w:pPr>
      <w:r>
        <w:rPr>
          <w:b/>
        </w:rPr>
        <w:t>Make signatures decade-durable.</w:t>
      </w:r>
      <w:r>
        <w:t xml:space="preserve"> Mandate RFC-3161 trusted timestamping and </w:t>
      </w:r>
      <w:r>
        <w:rPr>
          <w:b/>
        </w:rPr>
        <w:t>PAdES-LTV</w:t>
      </w:r>
      <w:r>
        <w:t xml:space="preserve"> (embed OCSP/CRL) for all signatures and statutory/WORM documents; add fields/entity for timestamp tokens and revocation data so signatures remain verifiable after certs expire. *(R4)*</w:t>
      </w:r>
    </w:p>
    <w:p>
      <w:pPr>
        <w:pStyle w:val="ListNumber"/>
      </w:pPr>
      <w:r>
        <w:rPr>
          <w:b/>
        </w:rPr>
        <w:t>Cryptographically anchor the audit log.</w:t>
      </w:r>
      <w:r>
        <w:t xml:space="preserve"> Hash-chain </w:t>
      </w:r>
      <w:r>
        <w:rPr>
          <w:rFonts w:ascii="Consolas" w:hAnsi="Consolas"/>
          <w:sz w:val="20"/>
        </w:rPr>
        <w:t>document_audit</w:t>
      </w:r>
      <w:r>
        <w:t xml:space="preserve"> (add </w:t>
      </w:r>
      <w:r>
        <w:rPr>
          <w:rFonts w:ascii="Consolas" w:hAnsi="Consolas"/>
          <w:sz w:val="20"/>
        </w:rPr>
        <w:t>prev_hash</w:t>
      </w:r>
      <w:r>
        <w:t xml:space="preserve">, </w:t>
      </w:r>
      <w:r>
        <w:rPr>
          <w:rFonts w:ascii="Consolas" w:hAnsi="Consolas"/>
          <w:sz w:val="20"/>
        </w:rPr>
        <w:t>row_hash</w:t>
      </w:r>
      <w:r>
        <w:t>) and periodically anchor digests to WORM/external notary, so immutability is provable, not merely DB-grant-enforced. *(R5)*</w:t>
      </w:r>
    </w:p>
    <w:p>
      <w:pPr>
        <w:pStyle w:val="ListNumber"/>
      </w:pPr>
      <w:r>
        <w:rPr>
          <w:b/>
        </w:rPr>
        <w:t>Restrict signature methods by document type.</w:t>
      </w:r>
      <w:r>
        <w:t xml:space="preserve"> Remove/limit </w:t>
      </w:r>
      <w:r>
        <w:rPr>
          <w:rFonts w:ascii="Consolas" w:hAnsi="Consolas"/>
          <w:sz w:val="20"/>
        </w:rPr>
        <w:t>DRAWN</w:t>
      </w:r>
      <w:r>
        <w:t xml:space="preserve"> for statutory orders; require DSC or Aadhaar eSign (IT Act §3A) for statutory types; record the legal basis per signature. *(quality/legal)*</w:t>
      </w:r>
    </w:p>
    <w:p>
      <w:pPr>
        <w:pStyle w:val="ListNumber"/>
      </w:pPr>
      <w:r>
        <w:rPr>
          <w:b/>
        </w:rPr>
        <w:t>Add a KMS key-DR/escrow policy.</w:t>
      </w:r>
      <w:r>
        <w:t xml:space="preserve"> CMK backup, multi-region/HSM replication, documented key-recovery runbook, and defined behavior on key loss; elevate KMS to a named top-tier availability risk in NFRs. *(R6)*</w:t>
      </w:r>
    </w:p>
    <w:p>
      <w:pPr>
        <w:pStyle w:val="ListNumber"/>
      </w:pPr>
      <w:r>
        <w:rPr>
          <w:b/>
        </w:rPr>
        <w:t>Secure the search index.</w:t>
      </w:r>
      <w:r>
        <w:t xml:space="preserve"> Require encryption-at-rest and access-scoping on the index, and </w:t>
      </w:r>
      <w:r>
        <w:rPr>
          <w:b/>
        </w:rPr>
        <w:t>exclude SECRET/TOP_SECRET full text</w:t>
      </w:r>
      <w:r>
        <w:t xml:space="preserve"> (metadata-only) or use a separately-secured per-domain index. *(R7)*</w:t>
      </w:r>
    </w:p>
    <w:p>
      <w:pPr>
        <w:pStyle w:val="ListNumber"/>
      </w:pPr>
      <w:r>
        <w:rPr>
          <w:b/>
        </w:rPr>
        <w:t>Add a DPDP precedence lattice.</w:t>
      </w:r>
      <w:r>
        <w:t xml:space="preserve"> New business rule and a </w:t>
      </w:r>
      <w:r>
        <w:rPr>
          <w:rFonts w:ascii="Consolas" w:hAnsi="Consolas"/>
          <w:sz w:val="20"/>
        </w:rPr>
        <w:t>data_subject_requests</w:t>
      </w:r>
      <w:r>
        <w:t xml:space="preserve"> entity: statutory retention / legal hold / WORM override erasure via legal-basis exemption; where no statutory basis exists, fulfil erasure by domain-local crypto-shred. *(R8)*</w:t>
      </w:r>
    </w:p>
    <w:p>
      <w:pPr>
        <w:pStyle w:val="ListNumber"/>
      </w:pPr>
      <w:r>
        <w:rPr>
          <w:b/>
        </w:rPr>
        <w:t>Add SoD on legal-hold release.</w:t>
      </w:r>
      <w:r>
        <w:t xml:space="preserve"> Dual control + mandatory reason for releasing a hold (and high-value placement), mirroring disposition maker-checker. *(R10)*</w:t>
      </w:r>
    </w:p>
    <w:p>
      <w:pPr>
        <w:pStyle w:val="ListNumber"/>
      </w:pPr>
      <w:r>
        <w:rPr>
          <w:b/>
        </w:rPr>
        <w:t>Make holds capture future matches.</w:t>
      </w:r>
      <w:r>
        <w:t xml:space="preserve"> Continuous-evaluation job auto-adds new documents matching an active SAVED_SEARCH/EMPLOYEE/CASE hold; add a custodian hold-notice + acknowledgement workflow. *(R11)*</w:t>
      </w:r>
    </w:p>
    <w:p>
      <w:pPr>
        <w:pStyle w:val="ListNumber"/>
      </w:pPr>
      <w:r>
        <w:rPr>
          <w:b/>
        </w:rPr>
        <w:t>Specify event-driven anchor recompute.</w:t>
      </w:r>
      <w:r>
        <w:t xml:space="preserve"> M13 subscribes to M01/M09/M11 lifecycle events (retire/case-close) via an outbox/event bus to compute disposition dates; block auto-DESTROY without a confirmed final anchor; recompute safely on anchor correction. *(R12)*</w:t>
      </w:r>
    </w:p>
    <w:p>
      <w:pPr>
        <w:pStyle w:val="ListNumber"/>
      </w:pPr>
      <w:r>
        <w:rPr>
          <w:b/>
        </w:rPr>
        <w:t>Provider-abstract all four engines.</w:t>
      </w:r>
      <w:r>
        <w:t xml:space="preserve"> Apply the storage-provider pattern to AV, OCR, DLP, and PKI behind interfaces so the build is thin orchestration and build-vs-buy is a deployment choice. *(R13)*</w:t>
      </w:r>
    </w:p>
    <w:p>
      <w:pPr>
        <w:pStyle w:val="ListNumber"/>
      </w:pPr>
      <w:r>
        <w:rPr>
          <w:b/>
        </w:rPr>
        <w:t>Freeze + stub the attach/fetch contract day one.</w:t>
      </w:r>
      <w:r>
        <w:t xml:space="preserve"> Publish a mock </w:t>
      </w:r>
      <w:r>
        <w:rPr>
          <w:rFonts w:ascii="Consolas" w:hAnsi="Consolas"/>
          <w:sz w:val="20"/>
        </w:rPr>
        <w:t>:attach</w:t>
      </w:r>
      <w:r>
        <w:t>/</w:t>
      </w:r>
      <w:r>
        <w:rPr>
          <w:rFonts w:ascii="Consolas" w:hAnsi="Consolas"/>
          <w:sz w:val="20"/>
        </w:rPr>
        <w:t>:fetch</w:t>
      </w:r>
      <w:r>
        <w:t xml:space="preserve"> + error catalog so the other 13 modules build against the contract while M13 internals are constructed. *(R14)*</w:t>
      </w:r>
    </w:p>
    <w:p>
      <w:pPr>
        <w:pStyle w:val="ListNumber"/>
      </w:pPr>
      <w:r>
        <w:rPr>
          <w:b/>
        </w:rPr>
        <w:t>Add an orphaned-document lifecycle.</w:t>
      </w:r>
      <w:r>
        <w:t xml:space="preserve"> New FR/job (orphan reaper), default retention for zero-link documents, a review queue, and an explicit state — not just "flagged in housekeeping." *(R15)*</w:t>
      </w:r>
    </w:p>
    <w:p>
      <w:pPr>
        <w:pStyle w:val="ListNumber"/>
      </w:pPr>
      <w:r>
        <w:rPr>
          <w:b/>
        </w:rPr>
        <w:t>Add anti-brute-force controls.</w:t>
      </w:r>
      <w:r>
        <w:t xml:space="preserve"> Rate-limit + lockout + alerting on </w:t>
      </w:r>
      <w:r>
        <w:rPr>
          <w:rFonts w:ascii="Consolas" w:hAnsi="Consolas"/>
          <w:sz w:val="20"/>
        </w:rPr>
        <w:t>/shared/{token}</w:t>
      </w:r>
      <w:r>
        <w:t xml:space="preserve"> password attempts and on break-glass authentication. *(R16)*</w:t>
      </w:r>
    </w:p>
    <w:p>
      <w:pPr>
        <w:pStyle w:val="ListNumber"/>
      </w:pPr>
      <w:r>
        <w:rPr>
          <w:b/>
        </w:rPr>
        <w:t>Sandbox and resource-limit OCR/preview/render workers</w:t>
      </w:r>
      <w:r>
        <w:t xml:space="preserve"> against decompression/billion-laughs/nested-PDF DoS, treating render of untrusted content as hostile. *(R17)*</w:t>
      </w:r>
    </w:p>
    <w:p>
      <w:pPr>
        <w:pStyle w:val="ListNumber"/>
      </w:pPr>
      <w:r>
        <w:rPr>
          <w:b/>
        </w:rPr>
        <w:t>Phase scope deliberately.</w:t>
      </w:r>
      <w:r>
        <w:t xml:space="preserve"> v1 = upload + encryption + WORM + audit + attach/fetch + ACL + AV + </w:t>
      </w:r>
      <w:r>
        <w:rPr>
          <w:b/>
        </w:rPr>
        <w:t>certified true copies</w:t>
      </w:r>
      <w:r>
        <w:t xml:space="preserve"> (statutory necessity) + watermark; </w:t>
      </w:r>
      <w:r>
        <w:rPr>
          <w:b/>
        </w:rPr>
        <w:t>fast-follow = interactive redaction</w:t>
      </w:r>
      <w:r>
        <w:t xml:space="preserve">. Make heavy check-out/check-in optional per type (M13 doesn't author content); drop/justify </w:t>
      </w:r>
      <w:r>
        <w:rPr>
          <w:rFonts w:ascii="Consolas" w:hAnsi="Consolas"/>
          <w:sz w:val="20"/>
        </w:rPr>
        <w:t>TOP_SECRET</w:t>
      </w:r>
      <w:r>
        <w:t>. *(R13, R22, focused-pass resolution)*</w:t>
      </w:r>
    </w:p>
    <w:p>
      <w:pPr>
        <w:pStyle w:val="ListNumber"/>
      </w:pPr>
      <w:r>
        <w:rPr>
          <w:b/>
        </w:rPr>
        <w:t>Harden migration, restore, residency, and notifications.</w:t>
      </w:r>
      <w:r>
        <w:t xml:space="preserve"> Treat legacy migration as a gated programme with reconciliation SLAs and dead-letter handling; add a DB-restore-vs-immutable-store/KMS consistency runbook; add a data-residency NFR (all replicas in-country); suppress doc/matter identifiers in notifications for sealed/SECRET items. *(R18, R19, R20, R21)*</w:t>
      </w:r>
    </w:p>
    <w:p>
      <w:pPr>
        <w:pStyle w:val="ListNumber"/>
      </w:pPr>
      <w:r>
        <w:rPr>
          <w:b/>
        </w:rPr>
        <w:t>Add a plain-language "upload-to-active" narrative</w:t>
      </w:r>
      <w:r>
        <w:t xml:space="preserve"> and consolidate/clarify overlapping roles (Document Owner vs Employee; Librarian vs Records Officer vs Records Manager) and clearance assignment, without breaking SoD. *(usability)*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M13 document management secure storage council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