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HRMS Program — Executive Overview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Prepared:</w:t>
      </w:r>
      <w:r>
        <w:t xml:space="preserve"> 2026-07-01 · </w:t>
      </w:r>
      <w:r>
        <w:rPr>
          <w:b/>
        </w:rPr>
        <w:t>Status:</w:t>
      </w:r>
      <w:r>
        <w:t xml:space="preserve"> Complete — specification, validated data model, contracts, phased plan, and acceptance tests all delivered; reconciled to source CSVs + prototype.</w:t>
      </w:r>
    </w:p>
    <w:p>
      <w:pPr>
        <w:pStyle w:val="Heading2"/>
      </w:pPr>
      <w:r>
        <w:rPr>
          <w:b/>
          <w:color w:val="1F3864"/>
          <w:sz w:val="30"/>
        </w:rPr>
        <w:t>1. What this is</w:t>
      </w:r>
    </w:p>
    <w:p>
      <w:r>
        <w:t>A complete, build-ready specification program for a **government/public-sector Human Resource Management</w:t>
      </w:r>
    </w:p>
    <w:p>
      <w:r>
        <w:t>System (HRMS)** covering the 14 functional areas in the *Functional Scope of Work — HRMS* (hosted at CGG</w:t>
      </w:r>
    </w:p>
    <w:p>
      <w:r>
        <w:t>Data Centre). The specifications are authored to the standard leading global organisations expect</w:t>
      </w:r>
    </w:p>
    <w:p>
      <w:r>
        <w:t>(Workday / SAP SuccessFactors / Oracle HCM class) and grounded on the organisation's **existing PrimeSoft</w:t>
      </w:r>
    </w:p>
    <w:p>
      <w:r>
        <w:t>HRMS platform** so they are buildable on what already exists rather than greenfield.</w:t>
      </w:r>
    </w:p>
    <w:p>
      <w:pPr>
        <w:pStyle w:val="Heading2"/>
      </w:pPr>
      <w:r>
        <w:rPr>
          <w:b/>
          <w:color w:val="1F3864"/>
          <w:sz w:val="30"/>
        </w:rPr>
        <w:t>2. The 14 modules (government codes G01–G14)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Profile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PrimeSoft Employee Master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Details Modification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master sensitive-field change (P01 workflow)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Attendance &amp; Leave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PrimeSoft Leave + Attendance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→ Digital Service Register Integration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(statutory)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Transfer, Relieving &amp; Joining Workflow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(statutory)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Promotion, Posting &amp; Progression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(seniority/DPC/MACP)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Training &amp; Skill Development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Net-new / platform-native L&amp;D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Appraisal (APAR)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PrimeSoft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Disciplinary Cases &amp; Punishment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(CCA-style due process)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&amp; Benefits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Phase-2 extension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 &amp; Pension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(statutory)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Employee Service Register (Digital SR)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Net-new</w:t>
            </w:r>
            <w:r>
              <w:rPr>
                <w:sz w:val="18"/>
              </w:rPr>
              <w:t xml:space="preserve"> statutory system-of-record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Management &amp; Secure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PrimeSoft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PrimeSoft Reports &amp; Analytics</w:t>
            </w:r>
          </w:p>
        </w:tc>
      </w:tr>
    </w:tbl>
    <w:p/>
    <w:p>
      <w:r>
        <w:t>The net-new statutory modules (Digital SR, pension, disciplinary, transfer/seniority, leave-SR) are the</w:t>
      </w:r>
    </w:p>
    <w:p>
      <w:r>
        <w:t>ones a commercial HCM lacks — and even those run on the existing platform services (workflow, audit, migration).</w:t>
      </w:r>
    </w:p>
    <w:p>
      <w:pPr>
        <w:pStyle w:val="Heading2"/>
      </w:pPr>
      <w:r>
        <w:rPr>
          <w:b/>
          <w:color w:val="1F3864"/>
          <w:sz w:val="30"/>
        </w:rPr>
        <w:t>3. How it was produced (rigor trail)</w:t>
      </w:r>
    </w:p>
    <w:p>
      <w:pPr>
        <w:pStyle w:val="ListNumber"/>
      </w:pPr>
      <w:r>
        <w:rPr>
          <w:b/>
        </w:rPr>
        <w:t>Draft (v1):</w:t>
      </w:r>
      <w:r>
        <w:t xml:space="preserve"> one detailed BRD per module — full data models, low-level designs, APIs, traceability.</w:t>
      </w:r>
    </w:p>
    <w:p>
      <w:pPr>
        <w:pStyle w:val="ListNumber"/>
      </w:pPr>
      <w:r>
        <w:rPr>
          <w:b/>
        </w:rPr>
        <w:t>Adversarial evaluation:</w:t>
      </w:r>
      <w:r>
        <w:t xml:space="preserve"> each BRD stress-tested by a 5-advisor expert council (proponent, contrarian,</w:t>
      </w:r>
    </w:p>
    <w:p>
      <w:r>
        <w:t>first-principles, outsider, executor → anonymous peer review → chairman synthesis). ~270 risks catalogued,</w:t>
      </w:r>
    </w:p>
    <w:p>
      <w:r>
        <w:t>~300 improvements adopted.</w:t>
      </w:r>
    </w:p>
    <w:p>
      <w:pPr>
        <w:pStyle w:val="ListNumber"/>
      </w:pPr>
      <w:r>
        <w:rPr>
          <w:b/>
        </w:rPr>
        <w:t>Council-revised (v2):</w:t>
      </w:r>
      <w:r>
        <w:t xml:space="preserve"> every adopted improvement folded in with an audit trail; High/Critical risks</w:t>
      </w:r>
    </w:p>
    <w:p>
      <w:r>
        <w:t>converted to concrete controls; overstated claims (e.g. "blockchain SR", false "0 gaps") corrected.</w:t>
      </w:r>
    </w:p>
    <w:p>
      <w:pPr>
        <w:pStyle w:val="ListNumber"/>
      </w:pPr>
      <w:r>
        <w:rPr>
          <w:b/>
        </w:rPr>
        <w:t>Platform re-grounding (v3):</w:t>
      </w:r>
      <w:r>
        <w:t xml:space="preserve"> re-anchored onto the real PrimeSoft platform — P01 Workflow, P02</w:t>
      </w:r>
    </w:p>
    <w:p>
      <w:r>
        <w:t>RBAC/Authorization, P05 Audit, P06 Migration, X/W services, the VAL-* validation library, RBAC v1.7,</w:t>
      </w:r>
    </w:p>
    <w:p>
      <w:r>
        <w:t xml:space="preserve">multi-tenancy, and the platform API/error conventions — with </w:t>
      </w:r>
      <w:r>
        <w:rPr>
          <w:rFonts w:ascii="Consolas" w:hAnsi="Consolas"/>
          <w:sz w:val="20"/>
        </w:rPr>
        <w:t>G01–G14</w:t>
      </w:r>
      <w:r>
        <w:t xml:space="preserve"> codes.</w:t>
      </w:r>
    </w:p>
    <w:p>
      <w:pPr>
        <w:pStyle w:val="ListNumber"/>
      </w:pPr>
      <w:r>
        <w:rPr>
          <w:b/>
        </w:rPr>
        <w:t>Cross-module integration review + remediation (v3.1):</w:t>
      </w:r>
      <w:r>
        <w:t xml:space="preserve"> five integration audits found and fixed the</w:t>
      </w:r>
    </w:p>
    <w:p>
      <w:r>
        <w:t>seams independent authoring introduced (a single SR ingestion contract, id-namespace hygiene, no entity forks).</w:t>
      </w:r>
    </w:p>
    <w:p>
      <w:pPr>
        <w:pStyle w:val="ListNumber"/>
      </w:pPr>
      <w:r>
        <w:rPr>
          <w:b/>
        </w:rPr>
        <w:t>Consolidated data model:</w:t>
      </w:r>
      <w:r>
        <w:t xml:space="preserve"> a 447-table PostgreSQL schema, </w:t>
      </w:r>
      <w:r>
        <w:rPr>
          <w:b/>
        </w:rPr>
        <w:t>validated end-to-end</w:t>
      </w:r>
      <w:r>
        <w:t xml:space="preserve"> against a live</w:t>
      </w:r>
    </w:p>
    <w:p>
      <w:r>
        <w:t>PostgreSQL instance (1,907 foreign keys, 443 row-level-security tables, 700 enums, all seed data inserting).</w:t>
      </w:r>
    </w:p>
    <w:p>
      <w:pPr>
        <w:pStyle w:val="Heading2"/>
      </w:pPr>
      <w:r>
        <w:rPr>
          <w:b/>
          <w:color w:val="1F3864"/>
          <w:sz w:val="30"/>
        </w:rPr>
        <w:t>4. Quality evidence</w:t>
      </w:r>
    </w:p>
    <w:p>
      <w:pPr>
        <w:pStyle w:val="ListBullet"/>
      </w:pPr>
      <w:r>
        <w:rPr>
          <w:b/>
        </w:rPr>
        <w:t>14 council reports</w:t>
      </w:r>
      <w:r>
        <w:t xml:space="preserve"> (</w:t>
      </w:r>
      <w:r>
        <w:rPr>
          <w:rFonts w:ascii="Consolas" w:hAnsi="Consolas"/>
          <w:sz w:val="20"/>
        </w:rPr>
        <w:t>docs/evaluation/</w:t>
      </w:r>
      <w:r>
        <w:t>) — independent adversarial review per module.</w:t>
      </w:r>
    </w:p>
    <w:p>
      <w:pPr>
        <w:pStyle w:val="ListBullet"/>
      </w:pPr>
      <w:r>
        <w:rPr>
          <w:b/>
        </w:rPr>
        <w:t>5 integration reviews + remediation</w:t>
      </w:r>
      <w:r>
        <w:t xml:space="preserve"> (</w:t>
      </w:r>
      <w:r>
        <w:rPr>
          <w:rFonts w:ascii="Consolas" w:hAnsi="Consolas"/>
          <w:sz w:val="20"/>
        </w:rPr>
        <w:t>docs/review/</w:t>
      </w:r>
      <w:r>
        <w:t>) — cross-module coherence, MATERIAL CONFLICTS on</w:t>
      </w:r>
    </w:p>
    <w:p>
      <w:r>
        <w:t>the SR contract found and resolved.</w:t>
      </w:r>
    </w:p>
    <w:p>
      <w:pPr>
        <w:pStyle w:val="ListBullet"/>
      </w:pPr>
      <w:r>
        <w:rPr>
          <w:b/>
        </w:rPr>
        <w:t>Schema validated end-to-end</w:t>
      </w:r>
      <w:r>
        <w:t xml:space="preserve"> (</w:t>
      </w:r>
      <w:r>
        <w:rPr>
          <w:rFonts w:ascii="Consolas" w:hAnsi="Consolas"/>
          <w:sz w:val="20"/>
        </w:rPr>
        <w:t>docs/data-model/</w:t>
      </w:r>
      <w:r>
        <w:t>) — not just per-file parsing; full cross-module FK</w:t>
      </w:r>
    </w:p>
    <w:p>
      <w:r>
        <w:t>integration loads clean.</w:t>
      </w:r>
    </w:p>
    <w:p>
      <w:pPr>
        <w:pStyle w:val="ListBullet"/>
      </w:pPr>
      <w:r>
        <w:rPr>
          <w:b/>
        </w:rPr>
        <w:t>Every BRD and report rendered to `.docx`</w:t>
      </w:r>
      <w:r>
        <w:t xml:space="preserve"> for distribution.</w:t>
      </w:r>
    </w:p>
    <w:p>
      <w:pPr>
        <w:pStyle w:val="Heading2"/>
      </w:pPr>
      <w:r>
        <w:rPr>
          <w:b/>
          <w:color w:val="1F3864"/>
          <w:sz w:val="30"/>
        </w:rPr>
        <w:t>5. Artefact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Location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Authoritative</w:t>
            </w:r>
            <w:r>
              <w:rPr>
                <w:sz w:val="18"/>
              </w:rPr>
              <w:t xml:space="preserve"> 14 platform-grounded BRDs (md + docx)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docs/brd/PLATFORM_FOUNDATION.md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MODULE_RECONCILIATION.md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build contract + gov↔PrimeSoft map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docs/brd/v1/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docs/brd/v2/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and council-revised lineage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docs/evaluation/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 adversarial council reports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docs/review/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integration reviews + remediation spec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docs/data-model/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447-table validated PostgreSQL schema (core + 14 modules)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docs/platform-grounding/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Extracted PrimeSoft governing-document 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docs/tools/md2docx.py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Markdown → styled .docx renderer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Build-pipeline artefacts (delivered)</w:t>
      </w:r>
    </w:p>
    <w:p>
      <w:r>
        <w:t>All downstream artefacts have now been produced and are in the repo:</w:t>
      </w:r>
    </w:p>
    <w:p>
      <w:pPr>
        <w:pStyle w:val="ListBullet"/>
      </w:pPr>
      <w:r>
        <w:rPr>
          <w:b/>
        </w:rPr>
        <w:t>Architecture document</w:t>
      </w:r>
      <w:r>
        <w:t xml:space="preserve"> (</w:t>
      </w:r>
      <w:r>
        <w:rPr>
          <w:rFonts w:ascii="Consolas" w:hAnsi="Consolas"/>
          <w:sz w:val="20"/>
        </w:rPr>
        <w:t>docs/architecture.md</w:t>
      </w:r>
      <w:r>
        <w:t>) — 14 modules on the platform + 11 ADRs.</w:t>
      </w:r>
    </w:p>
    <w:p>
      <w:pPr>
        <w:pStyle w:val="ListBullet"/>
      </w:pPr>
      <w:r>
        <w:rPr>
          <w:b/>
        </w:rPr>
        <w:t>Machine-readable contracts</w:t>
      </w:r>
      <w:r>
        <w:t xml:space="preserve"> (</w:t>
      </w:r>
      <w:r>
        <w:rPr>
          <w:rFonts w:ascii="Consolas" w:hAnsi="Consolas"/>
          <w:sz w:val="20"/>
        </w:rPr>
        <w:t>docs/contracts/</w:t>
      </w:r>
      <w:r>
        <w:t>) — OpenAPI 3.1 for all 14 modules (**1,132 paths /</w:t>
      </w:r>
    </w:p>
    <w:p>
      <w:r>
        <w:t xml:space="preserve">1,306 operations**), </w:t>
      </w:r>
      <w:r>
        <w:rPr>
          <w:rFonts w:ascii="Consolas" w:hAnsi="Consolas"/>
          <w:sz w:val="20"/>
        </w:rPr>
        <w:t>auth-matrix.yaml</w:t>
      </w:r>
      <w:r>
        <w:t xml:space="preserve"> (76 roles), </w:t>
      </w:r>
      <w:r>
        <w:rPr>
          <w:rFonts w:ascii="Consolas" w:hAnsi="Consolas"/>
          <w:sz w:val="20"/>
        </w:rPr>
        <w:t>error-taxonomy.yaml</w:t>
      </w:r>
      <w:r>
        <w:t xml:space="preserve"> (311 codes),</w:t>
      </w:r>
    </w:p>
    <w:p>
      <w:r>
        <w:rPr>
          <w:rFonts w:ascii="Consolas" w:hAnsi="Consolas"/>
          <w:sz w:val="20"/>
        </w:rPr>
        <w:t>state-machines.yaml</w:t>
      </w:r>
      <w:r>
        <w:t xml:space="preserve"> (73 machines), </w:t>
      </w:r>
      <w:r>
        <w:rPr>
          <w:rFonts w:ascii="Consolas" w:hAnsi="Consolas"/>
          <w:sz w:val="20"/>
        </w:rPr>
        <w:t>dependency-register.yaml</w:t>
      </w:r>
      <w:r>
        <w:t>.</w:t>
      </w:r>
    </w:p>
    <w:p>
      <w:pPr>
        <w:pStyle w:val="ListBullet"/>
      </w:pPr>
      <w:r>
        <w:rPr>
          <w:b/>
        </w:rPr>
        <w:t>Acceptance &amp; E2E test suites</w:t>
      </w:r>
      <w:r>
        <w:t xml:space="preserve"> (</w:t>
      </w:r>
      <w:r>
        <w:rPr>
          <w:rFonts w:ascii="Consolas" w:hAnsi="Consolas"/>
          <w:sz w:val="20"/>
        </w:rPr>
        <w:t>docs/tests/</w:t>
      </w:r>
      <w:r>
        <w:t xml:space="preserve">) — </w:t>
      </w:r>
      <w:r>
        <w:rPr>
          <w:b/>
        </w:rPr>
        <w:t>1,597 test cases</w:t>
      </w:r>
      <w:r>
        <w:t>, every FR covered (0 gaps).</w:t>
      </w:r>
    </w:p>
    <w:p>
      <w:pPr>
        <w:pStyle w:val="ListBullet"/>
      </w:pPr>
      <w:r>
        <w:rPr>
          <w:b/>
        </w:rPr>
        <w:t>Dependency-ordered phased build plan</w:t>
      </w:r>
      <w:r>
        <w:t xml:space="preserve"> (</w:t>
      </w:r>
      <w:r>
        <w:rPr>
          <w:rFonts w:ascii="Consolas" w:hAnsi="Consolas"/>
          <w:sz w:val="20"/>
        </w:rPr>
        <w:t>docs/phased-plan.md</w:t>
      </w:r>
      <w:r>
        <w:t>).</w:t>
      </w:r>
    </w:p>
    <w:p>
      <w:pPr>
        <w:pStyle w:val="ListBullet"/>
      </w:pPr>
      <w:r>
        <w:rPr>
          <w:b/>
        </w:rPr>
        <w:t>Field reconciliation</w:t>
      </w:r>
      <w:r>
        <w:t xml:space="preserve"> (</w:t>
      </w:r>
      <w:r>
        <w:rPr>
          <w:rFonts w:ascii="Consolas" w:hAnsi="Consolas"/>
          <w:sz w:val="20"/>
        </w:rPr>
        <w:t>docs/data-model/reconciliation/</w:t>
      </w:r>
      <w:r>
        <w:t>) — the schema and BRDs were reconciled against</w:t>
      </w:r>
    </w:p>
    <w:p>
      <w:r>
        <w:t xml:space="preserve">the 116 Darwinbox CSV field exports and the 296-screen prototype; data model grew </w:t>
      </w:r>
      <w:r>
        <w:rPr>
          <w:b/>
        </w:rPr>
        <w:t>403 → 447 tables</w:t>
      </w:r>
      <w:r>
        <w:t>;</w:t>
      </w:r>
    </w:p>
    <w:p>
      <w:r>
        <w:t xml:space="preserve">BRDs synced to </w:t>
      </w:r>
      <w:r>
        <w:rPr>
          <w:b/>
        </w:rPr>
        <w:t>v3.2</w:t>
      </w:r>
      <w:r>
        <w:t>; OpenAPI + tests refreshed for the changed modules.</w:t>
      </w:r>
    </w:p>
    <w:p>
      <w:pPr>
        <w:pStyle w:val="Heading2"/>
      </w:pPr>
      <w:r>
        <w:rPr>
          <w:b/>
          <w:color w:val="1F3864"/>
          <w:sz w:val="30"/>
        </w:rPr>
        <w:t>7. Recommended build sequence</w:t>
      </w:r>
    </w:p>
    <w:p>
      <w:r>
        <w:t>From the schema dependencies: platform core → G01/G12/G13 (foundational systems of record) → G02/G03 →</w:t>
      </w:r>
    </w:p>
    <w:p>
      <w:r>
        <w:t>G04/G05/G06/G08/G09 → G10/G11 → G14.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HRMS Program — Executive Overview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