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��� Configuration Source of Truth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32c001fa5abf1b325d240dc247d9bfcdb76ae4f"/>
      <w:r>
        <w:rPr/>
        <w:t>Configuration: Source of Truth, Boundary &amp; Traceability</w:t>
      </w:r>
    </w:p>
    <w:p>
      <w:pPr>
        <w:pStyle w:val="BlockText"/>
        <w:rPr/>
      </w:pPr>
      <w:r>
        <w:rPr>
          <w:b/>
          <w:bCs/>
        </w:rPr>
        <w:t>Employee-review note.</w:t>
      </w:r>
      <w:r>
        <w:rPr/>
        <w:t xml:space="preserve"> The current clickable screen reference is </w:t>
      </w:r>
      <w:r>
        <w:rPr>
          <w:b/>
          <w:bCs/>
        </w:rPr>
        <w:t>Prototype v2.1</w:t>
      </w:r>
      <w:r>
        <w:rPr/>
        <w:t xml:space="preserve">. A new config object — the </w:t>
      </w:r>
      <w:r>
        <w:rPr>
          <w:b/>
          <w:bCs/>
        </w:rPr>
        <w:t>Service-Catalogue master</w:t>
      </w:r>
      <w:r>
        <w:rPr/>
        <w:t xml:space="preserve"> (owner: Service Desk Admin, M17) — was introduced; it has no export yet and is tracked in the Coverage Map (CFG-MAP-116) and Actions Register (CFG-012). Its values become the field-inventory source once created, per the convention below.</w:t>
      </w:r>
    </w:p>
    <w:p>
      <w:pPr>
        <w:pStyle w:val="FirstParagraph"/>
        <w:rPr/>
      </w:pPr>
      <w:r>
        <w:rPr>
          <w:i/>
          <w:iCs/>
        </w:rPr>
        <w:t>A one-page convention for reading configuration across the PrimeSoft HRMS handoff package (prototype, Functional Specifications, and the Configuration Ownership &amp; Coverage Map). Read this before interpreting any configuration screen or specification.</w:t>
      </w:r>
    </w:p>
    <w:p>
      <w:pPr>
        <w:pStyle w:val="Heading2"/>
        <w:rPr/>
      </w:pPr>
      <w:bookmarkStart w:id="1" w:name="why-this-note-exists"/>
      <w:r>
        <w:rPr/>
        <w:t>Why this note exists</w:t>
      </w:r>
    </w:p>
    <w:p>
      <w:pPr>
        <w:pStyle w:val="FirstParagraph"/>
        <w:rPr/>
      </w:pPr>
      <w:r>
        <w:rPr/>
        <w:t xml:space="preserve">The tenant’s configuration is large (115 export files, several with 130–286 fields). No single artifact can both </w:t>
      </w:r>
      <w:r>
        <w:rPr>
          <w:i/>
          <w:iCs/>
        </w:rPr>
        <w:t>show</w:t>
      </w:r>
      <w:r>
        <w:rPr/>
        <w:t xml:space="preserve"> it interactively and </w:t>
      </w:r>
      <w:r>
        <w:rPr>
          <w:i/>
          <w:iCs/>
        </w:rPr>
        <w:t>enumerate</w:t>
      </w:r>
      <w:r>
        <w:rPr/>
        <w:t xml:space="preserve"> it completely without duplication and drift. This package therefore splits the job across three artifacts with </w:t>
      </w:r>
      <w:r>
        <w:rPr>
          <w:b/>
          <w:bCs/>
        </w:rPr>
        <w:t>clear, non-overlapping authority</w:t>
      </w:r>
      <w:r>
        <w:rPr/>
        <w:t>. This note states that split so a reader always knows which artifact to trust for which question.</w:t>
      </w:r>
      <w:bookmarkEnd w:id="1"/>
    </w:p>
    <w:p>
      <w:pPr>
        <w:pStyle w:val="Heading2"/>
        <w:rPr/>
      </w:pPr>
      <w:bookmarkStart w:id="2" w:name="source-of-truth--layered-authority"/>
      <w:r>
        <w:rPr/>
        <w:t>Source of truth — layered authority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 this question…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source of truth is…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What is configurable, and what are the current values?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configuration export file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(CSV)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export is authoritative for the field inventory and the tenant’s actual values.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What does a setting mean, how does it behave, what depends on it?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Functional Specification (FS)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FS specifies semantics, rules, dependencies, defaults and validation. It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file; it does not re-print values.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Where is it managed, and what does the screen / flow look like?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clickable prototype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prototype shows the screen, its information architecture and interaction pattern, with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representative data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</w:tbl>
    <w:p>
      <w:pPr>
        <w:pStyle w:val="BodyText"/>
        <w:rPr/>
      </w:pPr>
      <w:r>
        <w:rPr/>
        <w:t xml:space="preserve">Rule of thumb: </w:t>
      </w:r>
      <w:r>
        <w:rPr>
          <w:b/>
          <w:bCs/>
        </w:rPr>
        <w:t>values → the file · meaning &amp; behaviour → the FS · screen &amp; flow → the prototype.</w:t>
      </w:r>
      <w:bookmarkEnd w:id="2"/>
    </w:p>
    <w:p>
      <w:pPr>
        <w:pStyle w:val="Heading2"/>
        <w:rPr/>
      </w:pPr>
      <w:bookmarkStart w:id="3" w:name="Xc65c347233aa79c1e498fed61a7c73ac73a713d"/>
      <w:r>
        <w:rPr/>
        <w:t>Where the prototype stops and the document begins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prototype carries</w:t>
      </w:r>
      <w:r>
        <w:rPr/>
        <w:t xml:space="preserve"> the existence of a screen, its layout, its interaction pattern (list / add / edit), and a </w:t>
      </w:r>
      <w:r>
        <w:rPr>
          <w:i/>
          <w:iCs/>
        </w:rPr>
        <w:t>representative subset</w:t>
      </w:r>
      <w:r>
        <w:rPr/>
        <w:t xml:space="preserve"> of rows and fields so the reader can see the shape. </w:t>
      </w:r>
      <w:r>
        <w:rPr>
          <w:b/>
          <w:bCs/>
        </w:rPr>
        <w:t>It never claims completeness</w:t>
      </w:r>
      <w:r>
        <w:rPr/>
        <w:t xml:space="preserve"> — it does not enumerate every column or every row of a config file.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document carries</w:t>
      </w:r>
      <w:r>
        <w:rPr/>
        <w:t xml:space="preserve"> the full field inventory (by reference to the file), the semantics, dependencies, defaults, validation, and the coverage status.</w:t>
      </w:r>
    </w:p>
    <w:p>
      <w:pPr>
        <w:pStyle w:val="FirstParagraph"/>
        <w:rPr/>
      </w:pPr>
      <w:r>
        <w:rPr/>
        <w:t xml:space="preserve">In one line: </w:t>
      </w:r>
      <w:r>
        <w:rPr>
          <w:b/>
          <w:bCs/>
        </w:rPr>
        <w:t xml:space="preserve">the prototype is the </w:t>
      </w:r>
      <w:r>
        <w:rPr>
          <w:b/>
          <w:bCs/>
          <w:i/>
          <w:iCs/>
        </w:rPr>
        <w:t>shape and behaviour</w:t>
      </w:r>
      <w:r>
        <w:rPr>
          <w:b/>
          <w:bCs/>
        </w:rPr>
        <w:t xml:space="preserve"> of a configuration screen; the document is the </w:t>
      </w:r>
      <w:r>
        <w:rPr>
          <w:b/>
          <w:bCs/>
          <w:i/>
          <w:iCs/>
        </w:rPr>
        <w:t>completeness and meaning</w:t>
      </w:r>
      <w:r>
        <w:rPr>
          <w:b/>
          <w:bCs/>
        </w:rPr>
        <w:t xml:space="preserve"> of the configuration.</w:t>
      </w:r>
      <w:r>
        <w:rPr/>
        <w:t xml:space="preserve"> A “representative” screen is intentional, not a gap — the build drives the screen’s full field set from the named config file.</w:t>
      </w:r>
      <w:bookmarkEnd w:id="3"/>
    </w:p>
    <w:p>
      <w:pPr>
        <w:pStyle w:val="Heading2"/>
        <w:rPr/>
      </w:pPr>
      <w:bookmarkStart w:id="4" w:name="Xc30fb55a468a06f12c9092b7aabf1216e9909d0"/>
      <w:r>
        <w:rPr/>
        <w:t>Traceability — one spine, read from any end</w:t>
      </w:r>
    </w:p>
    <w:p>
      <w:pPr>
        <w:pStyle w:val="FirstParagraph"/>
        <w:rPr/>
      </w:pPr>
      <w:r>
        <w:rPr/>
        <w:t>Every configuration item is traceable along a single chain:</w:t>
      </w:r>
    </w:p>
    <w:p>
      <w:pPr>
        <w:pStyle w:val="BlockText"/>
        <w:rPr/>
      </w:pPr>
      <w:r>
        <w:rPr>
          <w:b/>
          <w:bCs/>
        </w:rPr>
        <w:t>Config file → Owning admin → Managing screen (page id) → FS reference (FR id) → Coverage status (Present / Partial / Missing)</w:t>
      </w:r>
    </w:p>
    <w:p>
      <w:pPr>
        <w:pStyle w:val="FirstParagraph"/>
        <w:rPr/>
      </w:pPr>
      <w:r>
        <w:rPr/>
        <w:t>This chain is carried by three devices: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The Configuration Ownership &amp; Coverage Map</w:t>
      </w:r>
      <w:r>
        <w:rPr/>
        <w:t xml:space="preserve"> — the index. One row per config file, with a stable ID (CFG-MAP-nnn), the owning admin, the managing screen (prototype page id), the FS reference, the coverage status, and a source-of-truth note.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Inline provenance lines</w:t>
      </w:r>
      <w:r>
        <w:rPr/>
        <w:t xml:space="preserve"> — each configuration screen and each FS configuration section carries a short banner naming its source file and map ID, e.g. </w:t>
      </w:r>
      <w:r>
        <w:rPr>
          <w:i/>
          <w:iCs/>
        </w:rPr>
        <w:t>“Config source:</w:t>
      </w:r>
      <w:r>
        <w:rPr/>
        <w:t xml:space="preserve"> </w:t>
      </w:r>
      <w:r>
        <w:rPr>
          <w:rStyle w:val="VerbatimChar"/>
        </w:rPr>
        <w:t>Leaves_Settings_Export.csv</w:t>
      </w:r>
      <w:r>
        <w:rPr/>
        <w:t xml:space="preserve"> </w:t>
      </w:r>
      <w:r>
        <w:rPr>
          <w:i/>
          <w:iCs/>
        </w:rPr>
        <w:t>· CFG-MAP-012 · screen is representative.”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This preface</w:t>
      </w:r>
      <w:r>
        <w:rPr/>
        <w:t xml:space="preserve"> — read once, it tells the reader how the three artifacts relate.</w:t>
      </w:r>
    </w:p>
    <w:p>
      <w:pPr>
        <w:pStyle w:val="FirstParagraph"/>
        <w:rPr/>
      </w:pPr>
      <w:r>
        <w:rPr/>
        <w:t xml:space="preserve">Because the chain is bidirectional, a reader can start from any end: - </w:t>
      </w:r>
      <w:r>
        <w:rPr>
          <w:b/>
          <w:bCs/>
        </w:rPr>
        <w:t>From a file</w:t>
      </w:r>
      <w:r>
        <w:rPr/>
        <w:t xml:space="preserve"> → the map gives the owning admin, the screen, the FS reference and the coverage status. - </w:t>
      </w:r>
      <w:r>
        <w:rPr>
          <w:b/>
          <w:bCs/>
        </w:rPr>
        <w:t>From a screen</w:t>
      </w:r>
      <w:r>
        <w:rPr/>
        <w:t xml:space="preserve"> → its provenance banner cites the file and the map ID. - </w:t>
      </w:r>
      <w:r>
        <w:rPr>
          <w:b/>
          <w:bCs/>
        </w:rPr>
        <w:t>From the FS</w:t>
      </w:r>
      <w:r>
        <w:rPr/>
        <w:t xml:space="preserve"> → each configuration section names the file and the screen.</w:t>
      </w:r>
      <w:bookmarkEnd w:id="4"/>
    </w:p>
    <w:p>
      <w:pPr>
        <w:pStyle w:val="Heading2"/>
        <w:rPr/>
      </w:pPr>
      <w:bookmarkStart w:id="5" w:name="X91b9b1f8312c8db3031ac6b00b2e2a01e00f4c8"/>
      <w:r>
        <w:rPr/>
        <w:t>Coverage status — what the three values mean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Present</w:t>
      </w:r>
      <w:r>
        <w:rPr/>
        <w:t xml:space="preserve"> — the screen manages the configuration at, or close to, the file’s field set; build follows the file for any remaining fields.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Partial (representative)</w:t>
      </w:r>
      <w:r>
        <w:rPr/>
        <w:t xml:space="preserve"> — the screen exists and is correctly purposed, but shows a representative subset; the build drives the full field set from the named file. </w:t>
      </w:r>
      <w:r>
        <w:rPr>
          <w:i/>
          <w:iCs/>
        </w:rPr>
        <w:t>This is the expected state for most config screens and is not a defect.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Missing</w:t>
      </w:r>
      <w:r>
        <w:rPr/>
        <w:t xml:space="preserve"> — the configuration exists in a file but has no managing admin screen; this is a genuine gap to be added.</w:t>
      </w:r>
      <w:bookmarkEnd w:id="5"/>
    </w:p>
    <w:p>
      <w:pPr>
        <w:pStyle w:val="Heading2"/>
        <w:rPr/>
      </w:pPr>
      <w:bookmarkStart w:id="6" w:name="how-to-use-this-in-review-and-build"/>
      <w:r>
        <w:rPr/>
        <w:t>How to use this in review and build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Reviewers</w:t>
      </w:r>
      <w:r>
        <w:rPr/>
        <w:t xml:space="preserve"> judge a config screen on </w:t>
      </w:r>
      <w:r>
        <w:rPr>
          <w:i/>
          <w:iCs/>
        </w:rPr>
        <w:t>purpose, ownership and interaction</w:t>
      </w:r>
      <w:r>
        <w:rPr/>
        <w:t xml:space="preserve"> — not on whether every field is present (completeness is the document’s job, audited in the map).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Engineers</w:t>
      </w:r>
      <w:r>
        <w:rPr/>
        <w:t xml:space="preserve"> build each config screen’s full field set from the </w:t>
      </w:r>
      <w:r>
        <w:rPr>
          <w:b/>
          <w:bCs/>
        </w:rPr>
        <w:t>named config file</w:t>
      </w:r>
      <w:r>
        <w:rPr/>
        <w:t>, using the FS for semantics and the prototype for the screen shape.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The map is the worklist</w:t>
      </w:r>
      <w:r>
        <w:rPr/>
        <w:t>: Missing rows are screens to add; Partial rows are field-completeness build tasks; Present rows are done.</w:t>
      </w:r>
      <w:bookmarkEnd w:id="6"/>
    </w:p>
    <w:p>
      <w:pPr>
        <w:pStyle w:val="Heading2"/>
        <w:rPr/>
      </w:pPr>
      <w:bookmarkStart w:id="7" w:name="manager-role-review-round-3"/>
      <w:r>
        <w:rPr/>
        <w:t>Manager-role review (Round 3)</w:t>
      </w:r>
    </w:p>
    <w:p>
      <w:pPr>
        <w:pStyle w:val="FirstParagraph"/>
        <w:rPr/>
      </w:pPr>
      <w:r>
        <w:rPr/>
        <w:t xml:space="preserve">Manager-role review applied to </w:t>
      </w:r>
      <w:r>
        <w:rPr>
          <w:b/>
          <w:bCs/>
        </w:rPr>
        <w:t>Prototype v2.2</w:t>
      </w:r>
      <w:r>
        <w:rPr/>
        <w:t xml:space="preserve">. New config touchpoints: </w:t>
      </w:r>
      <w:r>
        <w:rPr>
          <w:i/>
          <w:iCs/>
        </w:rPr>
        <w:t>Manager may edit Notice Period</w:t>
      </w:r>
      <w:r>
        <w:rPr/>
        <w:t xml:space="preserve"> flag (CFG-MAP-117, Notice config) and the Workspace-model availability inputs (CFG-MAP-118, Platform P02). Bulk queue actions reuse existing per-queue action permissions. Open items: OPEN-FS-FND-05 (BRD §3.4 vs Admin-workspace exclusivity); OPEN-FS-CFG-08 (has-reportees derived vs configurable); decision-queue bulk scope.</w:t>
      </w:r>
      <w:bookmarkEnd w:id="7"/>
    </w:p>
    <w:p>
      <w:pPr>
        <w:pStyle w:val="Heading2"/>
        <w:rPr/>
      </w:pPr>
      <w:bookmarkStart w:id="8" w:name="manager-role-review-round-3-follow-up"/>
      <w:r>
        <w:rPr/>
        <w:t>Manager-role review (Round 3 follow-up)</w:t>
      </w:r>
    </w:p>
    <w:p>
      <w:pPr>
        <w:pStyle w:val="FirstParagraph"/>
        <w:spacing w:before="180" w:after="180"/>
        <w:rPr/>
      </w:pPr>
      <w:bookmarkStart w:id="9" w:name="X32c001fa5abf1b325d240dc247d9bfcdb76ae4f"/>
      <w:bookmarkStart w:id="10" w:name="manager-role-review-round-3-follow-up"/>
      <w:r>
        <w:rPr/>
        <w:t>OPEN-FS-FND-05 resolved (Admin exclusive) and OPEN-FS-CFG-08 resolved (has-reportees derived). Manager reportee view rebuilt to mirror the employee's own profile with intentional Tier-1/bank/statutory masks only; applied to Prototype v2.3. No new configuration objects (workspace availability is RBAC-derived).</w:t>
      </w:r>
      <w:bookmarkEnd w:id="9"/>
      <w:bookmarkEnd w:id="1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2026-06-19T09:53:14Z</dcterms:created>
  <dc:creator/>
  <dc:description/>
  <dc:language>en-US</dc:language>
  <cp:lastModifiedBy/>
  <dcterms:modified xsi:type="dcterms:W3CDTF">2026-06-19T09:53:14Z</dcterms:modified>
  <cp:revision>0</cp:revision>
  <dc:subject/>
  <dc:title>PrimeSoft HRMS ��� Configuration Source of Truth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