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keepNext w:val="true"/>
        <w:keepLines/>
        <w:spacing w:before="480" w:after="240"/>
        <w:jc w:val="center"/>
        <w:rPr/>
      </w:pPr>
      <w:r>
        <w:rPr/>
        <w:t>FS ��� M11 Document Management v1.3</w:t>
      </w:r>
    </w:p>
    <w:sdt>
      <w:sdtPr>
        <w:docPartObj>
          <w:docPartGallery w:val="Table of Contents"/>
          <w:docPartUnique w:val="true"/>
        </w:docPartObj>
      </w:sdtPr>
      <w:sdtContent>
        <w:p>
          <w:pPr>
            <w:pStyle w:val="TOCHeading"/>
            <w:rPr/>
          </w:pPr>
          <w:r>
            <w:rPr/>
            <w:t>Table of Contents</w:t>
          </w:r>
        </w:p>
        <w:p>
          <w:pPr>
            <w:pStyle w:val="Normal"/>
            <w:rPr/>
          </w:pPr>
          <w:r>
            <w:fldChar w:fldCharType="begin"/>
          </w:r>
          <w:r>
            <w:rPr/>
            <w:instrText xml:space="preserve"> TOC \z \o "1-2" \u \h</w:instrText>
          </w:r>
          <w:r>
            <w:rPr/>
            <w:fldChar w:fldCharType="separate"/>
          </w:r>
          <w:r>
            <w:rPr/>
          </w:r>
          <w:r>
            <w:rPr/>
            <w:fldChar w:fldCharType="end"/>
          </w:r>
        </w:p>
      </w:sdtContent>
    </w:sdt>
    <w:p>
      <w:pPr>
        <w:pStyle w:val="Heading1"/>
        <w:rPr/>
      </w:pPr>
      <w:r>
        <w:rPr/>
        <w:t>Functional Specification — Document Management (M11)</w:t>
      </w:r>
    </w:p>
    <w:tbl>
      <w:tblPr>
        <w:tblStyle w:val="Table"/>
        <w:tblW w:w="7920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020" w:noHBand="0" w:noVBand="0" w:firstColumn="0" w:lastRow="0" w:lastColumn="0" w:firstRow="1"/>
      </w:tblPr>
      <w:tblGrid>
        <w:gridCol w:w="3960"/>
        <w:gridCol w:w="3959"/>
      </w:tblGrid>
      <w:tr>
        <w:trPr>
          <w:tblHeader w:val="true"/>
        </w:trPr>
        <w:tc>
          <w:tcPr>
            <w:tcW w:w="396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Version</w:t>
            </w:r>
          </w:p>
        </w:tc>
        <w:tc>
          <w:tcPr>
            <w:tcW w:w="3959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v1.3 (Employee-review: policy-ack as Task type; Document-Types appendix added) — was v1.2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Reconciliation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Aligned to BRD v2 (§4.11 canonical entity names) and Prototype v2 (real data-page anchors). Global Document Settings page added to the prototype as cfg-document-settings. All §10 open items resolved.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Status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Draft for review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References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M11_Document_Management_Requirements (Parts A–L); BRD v7.5 §4.11 (Document Mgmt entities), §5.12.10 (Document-Issue flows), §9.6 (M01/M11 notification matrix), §3.7.2 (HR Documents permissions), the embedded BRD “M11 FS v1 / DM-decision register”; RBAC Design Document v1.1 (Letter Admin flag §4.3; vault access); Foundation FS v1.0 (VAL-*, message catalogue, jobs index, menu); Platform Spec v1.0 (P01 workflow, P05 audit/retention, W.1 flows, W.2 forms, X.2 notifications).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Single source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The BRD and the M11 Requirements own document types, retention classes, the DM-decision register, and the notification events; this FS references them and authors only screens, complete API contracts, validation, per-screen RBAC projection, and the operational layer.</w:t>
            </w:r>
          </w:p>
        </w:tc>
      </w:tr>
    </w:tbl>
    <w:p>
      <w:pPr>
        <w:pStyle w:val="Heading2"/>
        <w:rPr/>
      </w:pPr>
      <w:r>
        <w:rPr/>
        <w:t>1. Scope &amp; Reference Map</w:t>
      </w:r>
    </w:p>
    <w:p>
      <w:pPr>
        <w:pStyle w:val="FirstParagraph"/>
        <w:rPr/>
      </w:pPr>
      <w:r>
        <w:rPr>
          <w:i/>
          <w:iCs/>
        </w:rPr>
        <w:t>References: BRD §4.11, §5.12.10, §9.6, §3.7.2; M11 Requirements Parts A–L.</w:t>
      </w:r>
    </w:p>
    <w:p>
      <w:pPr>
        <w:pStyle w:val="Heading3"/>
        <w:rPr/>
      </w:pPr>
      <w:r>
        <w:rPr/>
        <w:t>1.1 BRD / Requirements coverage map (referenced, not restated)</w:t>
      </w:r>
    </w:p>
    <w:tbl>
      <w:tblPr>
        <w:tblStyle w:val="Table"/>
        <w:tblW w:w="7920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020" w:noHBand="0" w:noVBand="0" w:firstColumn="0" w:lastRow="0" w:lastColumn="0" w:firstRow="1"/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tcW w:w="264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Topic</w:t>
            </w:r>
          </w:p>
        </w:tc>
        <w:tc>
          <w:tcPr>
            <w:tcW w:w="264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Source</w:t>
            </w:r>
          </w:p>
        </w:tc>
        <w:tc>
          <w:tcPr>
            <w:tcW w:w="264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FS treatment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Document Management entities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BRD §4.11 (policy_documents, employee_documents, letter_templates, signoff_transactions, …)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Reference fields; FS maps to screens + contracts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Document-type catalogue (18 types), retention classes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M11 Req Part C, H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Reference; FS authors the vault screen + upload behaviour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Vault access matrix (role × view/upload/replace/delete)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M11 Req Part C.2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Reference; FS projects onto vault screen §6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Letter template inventory (LTR_OFFER…LTR_TRLOC), merge fields, signatures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M11 Req Part D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Reference; FS authors template-builder + generate-letter screens + contracts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Sign-off &amp; acknowledgement engine, decline handling, pending report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M11 Req Part E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Reference; FS authors sign-off task UI + report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Policy library register, lifecycle states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M11 Req Part B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Reference; FS authors policy screens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Policy Sign-Off action in workflows; lifecycle-driven generation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M11 Req Part G; BRD §5.12.10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Reference P01 / W.1; FS maps screen triggers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Versioning, retention, disposal, DPDPA erasure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M11 Req Part H; BRD §5.1.5/Appendix C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Reference P05/W.1; FS authors version panel + disposal action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Notification events (POLICY_PUBLISHED, sign-off, letter-issued)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BRD §9.6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Reference; templates in Foundation §5 / M11 slice §8.2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DM-decision register (27 decisions)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BRD M11 FS v1 / Req Part L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Reference by DM-code; never restated</w:t>
            </w:r>
            <w:bookmarkStart w:id="0" w:name="Xbd640ffc20bee965ac15646a5456070b4d90455"/>
            <w:bookmarkEnd w:id="0"/>
          </w:p>
        </w:tc>
      </w:tr>
    </w:tbl>
    <w:p>
      <w:pPr>
        <w:pStyle w:val="Heading3"/>
        <w:rPr/>
      </w:pPr>
      <w:r>
        <w:rPr/>
        <w:t>1.2 Screen → requirement reference register (M11)</w:t>
      </w:r>
    </w:p>
    <w:tbl>
      <w:tblPr>
        <w:tblStyle w:val="Table"/>
        <w:tblW w:w="7920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020" w:noHBand="0" w:noVBand="0" w:firstColumn="0" w:lastRow="0" w:lastColumn="0" w:firstRow="1"/>
      </w:tblPr>
      <w:tblGrid>
        <w:gridCol w:w="1980"/>
        <w:gridCol w:w="1980"/>
        <w:gridCol w:w="1980"/>
        <w:gridCol w:w="1979"/>
      </w:tblGrid>
      <w:tr>
        <w:trPr>
          <w:tblHeader w:val="true"/>
        </w:trPr>
        <w:tc>
          <w:tcPr>
            <w:tcW w:w="198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FS screen</w:t>
            </w:r>
          </w:p>
        </w:tc>
        <w:tc>
          <w:tcPr>
            <w:tcW w:w="198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Prototype page (v2 data-page)</w:t>
            </w:r>
          </w:p>
        </w:tc>
        <w:tc>
          <w:tcPr>
            <w:tcW w:w="198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Requirement / BRD ref</w:t>
            </w:r>
          </w:p>
        </w:tc>
        <w:tc>
          <w:tcPr>
            <w:tcW w:w="1979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Key entities (BRD §4.11)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doc-settings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cfg-document-settings </w:t>
            </w:r>
            <w:r>
              <w:rPr>
                <w:rFonts w:eastAsia="Cambria" w:cs=""/>
                <w:i/>
                <w:iCs/>
                <w:kern w:val="0"/>
                <w:sz w:val="24"/>
                <w:szCs w:val="24"/>
                <w:lang w:val="en-US" w:eastAsia="en-US" w:bidi="ar-SA"/>
              </w:rPr>
              <w:t>(added in v2)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Req Part A (A.1–A.3)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tenant config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policy-library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policies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Req Part B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policy_documents, policy_categories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policy-detail / acknowledgement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policies / policy-ack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Req Part B.2–B.3, F.4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policy_documents — </w:t>
            </w:r>
            <w:r>
              <w:rPr>
                <w:rFonts w:eastAsia="Cambria" w:cs=""/>
                <w:i/>
                <w:iCs/>
                <w:kern w:val="0"/>
                <w:sz w:val="24"/>
                <w:szCs w:val="24"/>
                <w:lang w:val="en-US" w:eastAsia="en-US" w:bidi="ar-SA"/>
              </w:rPr>
              <w:t xml:space="preserve">acknowledgement also surfaced as a </w:t>
            </w:r>
            <w:r>
              <w:rPr>
                <w:rFonts w:eastAsia="Cambria" w:cs=""/>
                <w:b/>
                <w:bCs/>
                <w:i/>
                <w:iCs/>
                <w:kern w:val="0"/>
                <w:sz w:val="24"/>
                <w:szCs w:val="24"/>
                <w:lang w:val="en-US" w:eastAsia="en-US" w:bidi="ar-SA"/>
              </w:rPr>
              <w:t>Task</w:t>
            </w:r>
            <w:r>
              <w:rPr>
                <w:rFonts w:eastAsia="Cambria" w:cs=""/>
                <w:i/>
                <w:iCs/>
                <w:kern w:val="0"/>
                <w:sz w:val="24"/>
                <w:szCs w:val="24"/>
                <w:lang w:val="en-US" w:eastAsia="en-US" w:bidi="ar-SA"/>
              </w:rPr>
              <w:t xml:space="preserve"> in the employee Tasks section (Foundation/P01); the standalone “Pending acknowledgements” menu item is retired.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doc-templates (letter template builder)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da-templates / cfg-doc-templates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Req Part D.1–D.2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letter_templates, document_template_formats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letterheads / signers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cfg-letterheads / cfg-signers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Req Part D.3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letter_head_management, signing_authorities, letter_auto_numbering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generate-letter (single + bulk)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da-bulk-letters / da-letter-queue / letters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Req Part D.4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letter_templates, employee_documents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employee-vault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da-vault / da-doc-master (Add/Edit document types)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Req Part C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employee_documents, document_categories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upload document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upload-document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Req Part C (employee/HR upload)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employee_documents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document categories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da-categories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Req Part C; §4.11.8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document_categories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signoff-tracker / pending report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da-signoff-tracker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Req Part E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signoff_transactions</w:t>
            </w:r>
          </w:p>
        </w:tc>
      </w:tr>
    </w:tbl>
    <w:p>
      <w:pPr>
        <w:pStyle w:val="Heading2"/>
        <w:rPr/>
      </w:pPr>
      <w:r>
        <w:rPr/>
        <w:t>2. Screen Specifications</w:t>
      </w:r>
    </w:p>
    <w:p>
      <w:pPr>
        <w:pStyle w:val="FirstParagraph"/>
        <w:rPr/>
      </w:pPr>
      <w:r>
        <w:rPr>
          <w:i/>
          <w:iCs/>
        </w:rPr>
        <w:t>Each screen: purpose, the requirement/BRD ref it satisfies, layout regions, field behaviour, the five states (§3 Foundation FS), actions → contracts (§4) / message ids (Foundation §5 / §8.2). Visual styling is the design system’s.</w:t>
      </w:r>
    </w:p>
    <w:p>
      <w:pPr>
        <w:pStyle w:val="Heading3"/>
        <w:rPr/>
      </w:pPr>
      <w:bookmarkStart w:id="1" w:name="Xef4bf6227b81c14dbc92787ce77ef946244a316"/>
      <w:r>
        <w:rPr/>
        <w:t>2.1 doc-settings — Global Document Settings (Org Admin)</w:t>
      </w:r>
    </w:p>
    <w:p>
      <w:pPr>
        <w:pStyle w:val="FirstParagraph"/>
        <w:rPr/>
      </w:pPr>
      <w:bookmarkStart w:id="2" w:name="Xef4bf6227b81c14dbc92787ce77ef946244a316"/>
      <w:r>
        <w:rPr/>
        <w:t>Purpose: module-wide toggles, global sign-off + acknowledgement text, storage/encryption (Req A.1–A.3). Regions: toggles · sign-off text editor · acknowledgement text editor · storage/encryption summary (read-only, per P05). Fields: HR-policy sign-off text (VAL-REQUIRED, VAL-LEN), HR-letter acknowledgement text (VAL-REQUIRED), block-HR-policy-on-mobile (toggle), CTC font/size/padding (letter rendering). Actions: Save → PUT /api/v1/document-settings.</w:t>
      </w:r>
      <w:bookmarkEnd w:id="2"/>
    </w:p>
    <w:p>
      <w:pPr>
        <w:pStyle w:val="Heading3"/>
        <w:rPr/>
      </w:pPr>
      <w:bookmarkStart w:id="3" w:name="Xba91fc48d44387d2a6a108fafea236d08369106"/>
      <w:r>
        <w:rPr/>
        <w:t>2.2 policy-library / 2.3 policy-detail — Policy Library (Document Admin / HR Admin)</w:t>
      </w:r>
    </w:p>
    <w:p>
      <w:pPr>
        <w:pStyle w:val="FirstParagraph"/>
        <w:rPr/>
      </w:pPr>
      <w:bookmarkStart w:id="4" w:name="Xba91fc48d44387d2a6a108fafea236d08369106"/>
      <w:r>
        <w:rPr/>
        <w:t>Purpose: register, version, publish, assign policies; tag forms (Req B, F.4). List regions: filter by category/status + “New policy” + “Assign policy”. Detail: master attributes (name, category VAL-ENUM, owner, effective date VAL-DATE, version), lifecycle state (DRAFT→PUBLISHED→ARCHIVED per B.3), assignment (UAG/role scope per F.1), tagged sign-off form (W.2 form id). Publish triggers POLICY_PUBLISHED notification (§9.6) to in-scope employees. Actions: New/Edit → POST/PUT /api/v1/policies; Publish → POST /api/v1/policies/{id}/publish; Assign → POST /api/v1/policies/{id}/assignments.</w:t>
      </w:r>
      <w:bookmarkEnd w:id="4"/>
    </w:p>
    <w:p>
      <w:pPr>
        <w:pStyle w:val="Heading3"/>
        <w:rPr/>
      </w:pPr>
      <w:bookmarkStart w:id="5" w:name="X25aa23f80daea4c7a2c63d296e55bf2df7b70c1"/>
      <w:r>
        <w:rPr/>
        <w:t>2.4 doc-templates — Letter Template Builder (Letter Admin flag · Document Admin / HR Admin)</w:t>
      </w:r>
    </w:p>
    <w:p>
      <w:pPr>
        <w:pStyle w:val="FirstParagraph"/>
        <w:rPr/>
      </w:pPr>
      <w:bookmarkStart w:id="6" w:name="X25aa23f80daea4c7a2c63d296e55bf2df7b70c1"/>
      <w:r>
        <w:rPr/>
        <w:t>Purpose: author/manage letter templates + merge-field bindings + versioning (Req D.1–D.2; RBAC §4.3 Letter Admin). Regions: template list (inventory: LTR_OFFER, LTR_APPT, LTR_NDA, LTR_CONF, LTR_CONFM, LTR_PROBX, LTR_INC, LTR_PROMO, LTR_TRLOC …) · template editor (body + merge fields ${…}) · signature config (D.3) · activate/publish. Merge fields validated against the entity merge catalogue (Req D.2); unknown token → ERR (M11 slice). Actions: POST/PUT /api/v1/letter-templates, POST …/{id}/publish.</w:t>
      </w:r>
      <w:bookmarkEnd w:id="6"/>
    </w:p>
    <w:p>
      <w:pPr>
        <w:pStyle w:val="Heading3"/>
        <w:rPr/>
      </w:pPr>
      <w:bookmarkStart w:id="7" w:name="Xf00fe28df281e02b0159a93792600532c99c6a1"/>
      <w:r>
        <w:rPr/>
        <w:t>2.5 letterheads — Letterhead &amp; Signer Configuration (Org Admin / HR Admin)</w:t>
      </w:r>
    </w:p>
    <w:p>
      <w:pPr>
        <w:pStyle w:val="FirstParagraph"/>
        <w:rPr/>
      </w:pPr>
      <w:bookmarkStart w:id="8" w:name="Xf00fe28df281e02b0159a93792600532c99c6a1"/>
      <w:r>
        <w:rPr/>
        <w:t>Purpose: letterheads (HTML + DOCX), default signing authorities (up to 4) and signatures (Req D.3; Self-Generate Settings). Fields: letterhead HTML/DOCX upload (VAL-FILE), signer 1–4 (employee picker), signature image per signer (VAL-FILE). Actions: PUT /api/v1/letterheads.</w:t>
      </w:r>
      <w:bookmarkEnd w:id="8"/>
    </w:p>
    <w:p>
      <w:pPr>
        <w:pStyle w:val="Heading3"/>
        <w:rPr/>
      </w:pPr>
      <w:bookmarkStart w:id="9" w:name="Xb6c7084cb064dd63572ab3fcc93dcf157dc16ab"/>
      <w:r>
        <w:rPr/>
        <w:t>2.6 generate-letter — Generate Letter (HR Admin; bulk per D.4)</w:t>
      </w:r>
    </w:p>
    <w:p>
      <w:pPr>
        <w:pStyle w:val="FirstParagraph"/>
        <w:rPr/>
      </w:pPr>
      <w:bookmarkStart w:id="10" w:name="Xb6c7084cb064dd63572ab3fcc93dcf157dc16ab"/>
      <w:r>
        <w:rPr/>
        <w:t>Purpose: generate a letter for one or many employees from a template, with serial numbering and signature (Req D.4). Regions: template select · recipient select (single/bulk) · preview (merged) · serial (${SYS.letter_serial} per name-format) · generate. Bulk generation runs as a background job (§8.1). Generated letters write to the employee vault and trigger LETTER_ISSUED notification. Actions: POST /api/v1/letters (single) / POST /api/v1/letters/bulk (job).</w:t>
      </w:r>
      <w:bookmarkEnd w:id="10"/>
    </w:p>
    <w:p>
      <w:pPr>
        <w:pStyle w:val="Heading3"/>
        <w:rPr/>
      </w:pPr>
      <w:bookmarkStart w:id="11" w:name="X4071a22dc8c624e002b537c50ce1f1aab610aa1"/>
      <w:r>
        <w:rPr/>
        <w:t>2.7 employee-vault — Employee Document Vault</w:t>
      </w:r>
    </w:p>
    <w:p>
      <w:pPr>
        <w:pStyle w:val="FirstParagraph"/>
        <w:rPr/>
      </w:pPr>
      <w:r>
        <w:rPr/>
        <w:t xml:space="preserve">Purpose: per-employee document repository across the 18 document types (Req Part C), categorised, version-chained (Part H.1), with retention class. Regions: category tabs · document list (type, version, status, retention) · upload/replace · view (PII-masked per tier). Field behaviour per the </w:t>
      </w:r>
      <w:r>
        <w:rPr>
          <w:b/>
          <w:bCs/>
        </w:rPr>
        <w:t>vault access matrix (Req C.2)</w:t>
      </w:r>
      <w:r>
        <w:rPr/>
        <w:t xml:space="preserve"> — projected in §6. Sensitive uploads route to the M01 sensitive-field approval gate (P01). Actions: POST /api/v1/employees/{id}/documents, GET …, POST …/{docId}/versions, POST …/{docId}/disposal.</w:t>
      </w:r>
      <w:bookmarkEnd w:id="11"/>
    </w:p>
    <w:p>
      <w:pPr>
        <w:pStyle w:val="Heading3"/>
        <w:rPr/>
      </w:pPr>
      <w:bookmarkStart w:id="12" w:name="X70ea997afffb2fa8fcf32201e0fd468d157160e"/>
      <w:r>
        <w:rPr/>
        <w:t>2.8 signoff-tracker / 2.9 signoff-pending-report — Sign-off &amp; Acknowledgement (Req E)</w:t>
      </w:r>
    </w:p>
    <w:p>
      <w:pPr>
        <w:pStyle w:val="FirstParagraph"/>
        <w:rPr/>
      </w:pPr>
      <w:bookmarkStart w:id="13" w:name="X70ea997afffb2fa8fcf32201e0fd468d157160e"/>
      <w:r>
        <w:rPr/>
        <w:t>Purpose: track policy/letter sign-off tasks, capture acknowledgement, handle decline, and surface the pending report (E.1–E.4). The prototype shows the aggregate (“412 sign-offs · 218 policy · 194 letter”). Sign-off task list (status, due, employee), acknowledgement record (timestamp, version acknowledged), decline path (reason → routing per E.3). Pending report filterable by policy/letter/UAG. Actions: POST /api/v1/signoffs/{id}/acknowledge, POST …/{id}/decline; report GET /api/v1/signoffs?status=PENDING.</w:t>
      </w:r>
      <w:bookmarkEnd w:id="13"/>
    </w:p>
    <w:p>
      <w:pPr>
        <w:pStyle w:val="Heading2"/>
        <w:rPr/>
      </w:pPr>
      <w:bookmarkStart w:id="14" w:name="Xa9fdc07af8a7dc1aaa653826ee8ef9d9bf048cc"/>
      <w:r>
        <w:rPr/>
        <w:t>3. Interaction &amp; Navigation Flows</w:t>
      </w:r>
    </w:p>
    <w:p>
      <w:pPr>
        <w:pStyle w:val="FirstParagraph"/>
        <w:rPr/>
      </w:pPr>
      <w:r>
        <w:rPr>
          <w:i/>
          <w:iCs/>
        </w:rPr>
        <w:t>References: BRD §5.12.10 (4 Document-Issue flows), §8 (lifecycle state machines), M11 Req Part G/K. The state machine is referenced, not redrawn; this shows which screen/job drives each transition.</w:t>
      </w:r>
    </w:p>
    <w:p>
      <w:pPr>
        <w:pStyle w:val="BodyText"/>
        <w:rPr/>
      </w:pPr>
      <w:r>
        <w:rPr/>
        <w:t xml:space="preserve">Four document-issue flows (BRD §5.12.10), each mapping a lifecycle event → letter generation → vault → sign-off: 1. </w:t>
      </w:r>
      <w:r>
        <w:rPr>
          <w:b/>
          <w:bCs/>
        </w:rPr>
        <w:t>Onboarding sign-off cluster</w:t>
      </w:r>
      <w:r>
        <w:rPr/>
        <w:t xml:space="preserve"> — M02 completion → generate LTR_APPT/NDA/LTR_CONF (W.1 onboarding workflow) → vault → sign-off tasks (E.1). 2. </w:t>
      </w:r>
      <w:r>
        <w:rPr>
          <w:b/>
          <w:bCs/>
        </w:rPr>
        <w:t>Probation confirmation/extension</w:t>
      </w:r>
      <w:r>
        <w:rPr/>
        <w:t xml:space="preserve"> — M01 lifecycle Active(probation)→Active(confirmed) → LTR_CONFM / LTR_PROBX on HR Admin action. 3. </w:t>
      </w:r>
      <w:r>
        <w:rPr>
          <w:b/>
          <w:bCs/>
        </w:rPr>
        <w:t>Lifecycle letters</w:t>
      </w:r>
      <w:r>
        <w:rPr/>
        <w:t xml:space="preserve"> — increment (LTR_INC), promotion (LTR_PROMO), transfer (LTR_TRLOC) generated on the respective approval event (M09/M10/M01); </w:t>
      </w:r>
      <w:r>
        <w:rPr>
          <w:i/>
          <w:iCs/>
        </w:rPr>
        <w:t>LTR_INC/LTR_PROMO depend on M10 Compensation — Phase 2 (see §10)</w:t>
      </w:r>
      <w:r>
        <w:rPr/>
        <w:t xml:space="preserve">. 4. </w:t>
      </w:r>
      <w:r>
        <w:rPr>
          <w:b/>
          <w:bCs/>
        </w:rPr>
        <w:t>Separation/experience letter</w:t>
      </w:r>
      <w:r>
        <w:rPr/>
        <w:t xml:space="preserve"> — M03 separation → LTR (experience/relieving) → terminal vault version. Policy Sign-Off action embeds in any workflow stage (W.1; Req G.1); lifecycle-driven generation per G.2; M02 cluster delegation per G.3.</w:t>
      </w:r>
      <w:bookmarkEnd w:id="14"/>
    </w:p>
    <w:p>
      <w:pPr>
        <w:pStyle w:val="Heading2"/>
        <w:rPr/>
      </w:pPr>
      <w:bookmarkStart w:id="15" w:name="X14fe74f0f0d33570aa28dbcd5c12ff4ee798f6a"/>
      <w:r>
        <w:rPr/>
        <w:t>4. API Contracts</w:t>
      </w:r>
    </w:p>
    <w:p>
      <w:pPr>
        <w:pStyle w:val="FirstParagraph"/>
        <w:rPr/>
      </w:pPr>
      <w:r>
        <w:rPr>
          <w:i/>
          <w:iCs/>
        </w:rPr>
        <w:t>Inventory referenced from BRD §6.4; full contracts authored here. Auth/idempotency/pagination/error-envelope per Foundation §1. Errors reference Foundation/M11 message ids.</w:t>
      </w:r>
    </w:p>
    <w:p>
      <w:pPr>
        <w:pStyle w:val="BodyText"/>
        <w:rPr/>
      </w:pPr>
      <w:r>
        <w:rPr/>
        <w:t>POST /api/v1/letters — generate a letter (Req D.4) Request: { template_code, employee_id, merge_overrides{}, letterhead_id, signers[] } Response: { letter_id, serial, document_id, pdf_url } Errors: 403 (ref P02) · 404 template/employee · 409 duplicate (Idempotency-Key) · 422 unknown merge token / missing required merge field (VAL per Req D.2)</w:t>
      </w:r>
    </w:p>
    <w:p>
      <w:pPr>
        <w:pStyle w:val="BodyText"/>
        <w:rPr/>
      </w:pPr>
      <w:r>
        <w:rPr/>
        <w:t>POST /api/v1/letters/bulk — bulk generate (background job JOB-M11-BULKLTR §8.1) Request: { template_code, employee_filter{} | employee_ids[], letterhead_id } Response: { job_id, count } (progress polled; completion notifies issuer)</w:t>
      </w:r>
    </w:p>
    <w:p>
      <w:pPr>
        <w:pStyle w:val="BodyText"/>
        <w:rPr/>
      </w:pPr>
      <w:r>
        <w:rPr/>
        <w:t>POST /api/v1/employees/{id}/documents — upload to vault (Req C) Request: multipart { document_type, file, effective_date? } (VAL-FILE; PII tier per Appendix B) Response: { document_id, version, status } Errors: 403 (vault matrix §6) · 422 type/retention invalid · 409 sensitive-pending (M01 gate)</w:t>
      </w:r>
    </w:p>
    <w:p>
      <w:pPr>
        <w:pStyle w:val="BodyText"/>
        <w:rPr/>
      </w:pPr>
      <w:r>
        <w:rPr/>
        <w:t>POST /api/v1/signoffs/{id}/acknowledge | /decline — sign-off engine (Req E) Request: acknowledge { version_acknowledged } · decline { reason (VAL-REQUIRED) } Response: { signoff_id, status } Errors: 403 · 409 already-actioned · 422 reason required (ERR-REASON-REQ)</w:t>
      </w:r>
    </w:p>
    <w:p>
      <w:pPr>
        <w:pStyle w:val="BodyText"/>
        <w:rPr/>
      </w:pPr>
      <w:bookmarkStart w:id="16" w:name="X14fe74f0f0d33570aa28dbcd5c12ff4ee798f6a"/>
      <w:r>
        <w:rPr/>
        <w:t>POST /api/v1/policies + /{id}/publish + /{id}/assignments — policy library (Req B) POST/PUT /api/v1/letter-templates (+ /{id}/publish) — template builder (Req D) PUT /api/v1/letterheads · PUT /api/v1/document-settings — config (Req D.3 / A)</w:t>
      </w:r>
      <w:bookmarkEnd w:id="16"/>
    </w:p>
    <w:p>
      <w:pPr>
        <w:pStyle w:val="Heading2"/>
        <w:rPr/>
      </w:pPr>
      <w:bookmarkStart w:id="17" w:name="Xdf931ec91fda0871a9dfa24c27b2064e7067b09"/>
      <w:r>
        <w:rPr/>
        <w:t>5. Validation</w:t>
      </w:r>
    </w:p>
    <w:p>
      <w:pPr>
        <w:pStyle w:val="FirstParagraph"/>
        <w:rPr/>
      </w:pPr>
      <w:r>
        <w:rPr>
          <w:i/>
          <w:iCs/>
        </w:rPr>
        <w:t>Reference Foundation §2 catalogue ids; author only M11-unique rules.</w:t>
      </w:r>
    </w:p>
    <w:p>
      <w:pPr>
        <w:pStyle w:val="BodyText"/>
        <w:rPr/>
      </w:pPr>
      <w:r>
        <w:rPr/>
        <w:t xml:space="preserve">Referenced: VAL-FILE (uploads — type/size/scan), VAL-REQUIRED, VAL-LEN, VAL-ENUM (category/type), VAL-DATE (effective/retention), VAL-CONSENT (acknowledgement). M11-unique (authored here): </w:t>
      </w:r>
      <w:r>
        <w:rPr>
          <w:b/>
          <w:bCs/>
        </w:rPr>
        <w:t>VAL-M11-MERGE</w:t>
      </w:r>
      <w:r>
        <w:rPr/>
        <w:t xml:space="preserve"> — every ${token} in a letter template must resolve against the merge-field catalogue (Req D.2); unknown/unbound token blocks publish. </w:t>
      </w:r>
      <w:r>
        <w:rPr>
          <w:b/>
          <w:bCs/>
        </w:rPr>
        <w:t>VAL-M11-RETENTION</w:t>
      </w:r>
      <w:r>
        <w:rPr/>
        <w:t xml:space="preserve"> — a document’s retention class (Req H.2) governs disposal eligibility; disposal blocked before the window. </w:t>
      </w:r>
      <w:r>
        <w:rPr>
          <w:b/>
          <w:bCs/>
        </w:rPr>
        <w:t>VAL-M11-SIGNER</w:t>
      </w:r>
      <w:r>
        <w:rPr/>
        <w:t xml:space="preserve"> — generate requires the template’s configured signer set (D.3) to be resolvable (active employees with signatures).</w:t>
      </w:r>
      <w:bookmarkEnd w:id="17"/>
    </w:p>
    <w:p>
      <w:pPr>
        <w:pStyle w:val="Heading2"/>
        <w:rPr/>
      </w:pPr>
      <w:bookmarkStart w:id="18" w:name="Xaa76a19780d94c944790cc67d3082055adbe566"/>
      <w:r>
        <w:rPr/>
        <w:t>6. Per-Screen RBAC Projection &amp; Menu Entitlement</w:t>
      </w:r>
    </w:p>
    <w:p>
      <w:pPr>
        <w:pStyle w:val="FirstParagraph"/>
        <w:rPr/>
      </w:pPr>
      <w:r>
        <w:rPr>
          <w:i/>
          <w:iCs/>
        </w:rPr>
        <w:t>References: BRD §3.7.2 (HR Documents matrix), §3.9 (field access / PII), RBAC v1.1 (Letter Admin flag §4.3, vault matrix), Foundation §6 (menu). Projects the vault access matrix (Req C.2) onto screens; never restates the matrix.</w:t>
      </w:r>
    </w:p>
    <w:p>
      <w:pPr>
        <w:pStyle w:val="BodyText"/>
        <w:rPr/>
      </w:pPr>
      <w:r>
        <w:rPr/>
        <w:t xml:space="preserve">Vault (employee-vault) per role (Req C.2): </w:t>
      </w:r>
      <w:r>
        <w:rPr>
          <w:b/>
          <w:bCs/>
        </w:rPr>
        <w:t>Employee</w:t>
      </w:r>
      <w:r>
        <w:rPr/>
        <w:t xml:space="preserve"> view/upload own (sensitive via M01 gate), no delete; </w:t>
      </w:r>
      <w:r>
        <w:rPr>
          <w:b/>
          <w:bCs/>
        </w:rPr>
        <w:t>Manager (L1)</w:t>
      </w:r>
      <w:r>
        <w:rPr/>
        <w:t xml:space="preserve"> no vault access; </w:t>
      </w:r>
      <w:r>
        <w:rPr>
          <w:b/>
          <w:bCs/>
        </w:rPr>
        <w:t>HRBP</w:t>
      </w:r>
      <w:r>
        <w:rPr/>
        <w:t xml:space="preserve"> view/upload/replace for subordinates (sensitive via approval); </w:t>
      </w:r>
      <w:r>
        <w:rPr>
          <w:b/>
          <w:bCs/>
        </w:rPr>
        <w:t>HR Admin / Document Admin / Org Admin</w:t>
      </w:r>
      <w:r>
        <w:rPr/>
        <w:t xml:space="preserve"> full incl. delete (mandatory reason, audit-logged P05); </w:t>
      </w:r>
      <w:r>
        <w:rPr>
          <w:b/>
          <w:bCs/>
        </w:rPr>
        <w:t>Auditor</w:t>
      </w:r>
      <w:r>
        <w:rPr/>
        <w:t xml:space="preserve"> read-only terminal version. Template builder + letterheads gated by </w:t>
      </w:r>
      <w:r>
        <w:rPr>
          <w:b/>
          <w:bCs/>
        </w:rPr>
        <w:t>Letter Admin</w:t>
      </w:r>
      <w:r>
        <w:rPr/>
        <w:t xml:space="preserve"> capability flag (RBAC §4.3) on Document Admin / HR Admin. Letter generation: HR Admin (offer LTR_OFFER requires CEO + HR Admin signers per joint authority). Menu slice (extends Foundation §6 “Documents”): Documents → My Documents (all), Document Admin → Templates/Letterheads/Policies/Sign-offs (Document Admin, HR Admin, Org Admin), gated per document.* permissions.</w:t>
      </w:r>
      <w:bookmarkEnd w:id="18"/>
    </w:p>
    <w:p>
      <w:pPr>
        <w:pStyle w:val="Heading2"/>
        <w:rPr/>
      </w:pPr>
      <w:bookmarkStart w:id="19" w:name="X13b7316604aba040e2d0e298ee95ea8c6e25f04"/>
      <w:r>
        <w:rPr/>
        <w:t>7. Interaction with Workflow &amp; Lifecycle (engine boundary)</w:t>
      </w:r>
    </w:p>
    <w:p>
      <w:pPr>
        <w:pStyle w:val="FirstParagraph"/>
        <w:rPr/>
      </w:pPr>
      <w:r>
        <w:rPr>
          <w:i/>
          <w:iCs/>
        </w:rPr>
        <w:t>References: Platform P01 (engine), W.1 (flow definitions), Req Part G.</w:t>
      </w:r>
      <w:r>
        <w:rPr/>
        <w:t xml:space="preserve"> Policy Sign-Off is a workflow stage action type (W.1; Workflow-Stages “Document Generation” = 23 configured stages). Lifecycle-driven generation is triggered by the owning module’s state transition (M01/M02/M03/M09) — this FS references which transition triggers which letter; the flow definitions live in W.1 and the engine in P01.</w:t>
      </w:r>
      <w:bookmarkEnd w:id="19"/>
    </w:p>
    <w:p>
      <w:pPr>
        <w:pStyle w:val="Heading2"/>
        <w:rPr/>
      </w:pPr>
      <w:bookmarkStart w:id="20" w:name="Xf86b0398604121a98ece0dc80c9089f9969639e"/>
      <w:r>
        <w:rPr/>
        <w:t>8. Operational Layer (M11 slice — Foundation-bound)</w:t>
      </w:r>
    </w:p>
    <w:p>
      <w:pPr>
        <w:pStyle w:val="Heading3"/>
        <w:rPr/>
      </w:pPr>
      <w:r>
        <w:rPr/>
        <w:t>8.1 Scheduled jobs &amp; background processing</w:t>
      </w:r>
    </w:p>
    <w:p>
      <w:pPr>
        <w:pStyle w:val="FirstParagraph"/>
        <w:rPr/>
      </w:pPr>
      <w:r>
        <w:rPr>
          <w:i/>
          <w:iCs/>
        </w:rPr>
        <w:t>Index + shared standard in Foundation §4; logic authored here.</w:t>
      </w:r>
    </w:p>
    <w:tbl>
      <w:tblPr>
        <w:tblStyle w:val="Table"/>
        <w:tblW w:w="7920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020" w:noHBand="0" w:noVBand="0" w:firstColumn="0" w:lastRow="0" w:lastColumn="0" w:firstRow="1"/>
      </w:tblPr>
      <w:tblGrid>
        <w:gridCol w:w="1980"/>
        <w:gridCol w:w="1980"/>
        <w:gridCol w:w="1980"/>
        <w:gridCol w:w="1979"/>
      </w:tblGrid>
      <w:tr>
        <w:trPr>
          <w:tblHeader w:val="true"/>
        </w:trPr>
        <w:tc>
          <w:tcPr>
            <w:tcW w:w="198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Job id</w:t>
            </w:r>
          </w:p>
        </w:tc>
        <w:tc>
          <w:tcPr>
            <w:tcW w:w="198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Trigger</w:t>
            </w:r>
          </w:p>
        </w:tc>
        <w:tc>
          <w:tcPr>
            <w:tcW w:w="198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Purpose / logic</w:t>
            </w:r>
          </w:p>
        </w:tc>
        <w:tc>
          <w:tcPr>
            <w:tcW w:w="1979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Idempotency / failure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JOB-M11-BULKLTR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on bulk-generate request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Generate letters for the recipient set; write to vaults; notify issuer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Per-recipient idempotency key; partial-failure report; retry per Foundation §4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JOB-M11-RETENTION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daily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Flag documents reaching retention window for disposal (Req H.2)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Idempotent; no auto-delete — queues disposal task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JOB-M11-DISPOSAL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on approved disposal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Execute disposal/DPDPA erasure (Req H.3–H.4); writes redaction marker (P05)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One-way; audit-logged; irreversible — gated by approval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JOB-M11-SIGNOFF-REMIND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daily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Remind pending sign-off tasks (Req E.4)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Idempotent; dedup per task/day</w:t>
            </w:r>
            <w:bookmarkStart w:id="21" w:name="X21c35690052cf9ca4cbf9cbbd837f6b175a286d"/>
            <w:bookmarkEnd w:id="21"/>
          </w:p>
        </w:tc>
      </w:tr>
    </w:tbl>
    <w:p>
      <w:pPr>
        <w:pStyle w:val="Heading3"/>
        <w:rPr/>
      </w:pPr>
      <w:r>
        <w:rPr/>
        <w:t>8.2 Message catalogue (M11 slice)</w:t>
      </w:r>
    </w:p>
    <w:p>
      <w:pPr>
        <w:pStyle w:val="FirstParagraph"/>
        <w:rPr/>
      </w:pPr>
      <w:r>
        <w:rPr>
          <w:i/>
          <w:iCs/>
        </w:rPr>
        <w:t>Events owned by BRD §9.6; templates referenced by id (copy in Foundation §5 / here).</w:t>
      </w:r>
      <w:r>
        <w:rPr/>
        <w:t xml:space="preserve"> Notifications: MSG-M11-POLICY-PUBLISHED (POLICY_PUBLISHED → in-scope employees), MSG-M11-LETTER-ISSUED, MSG-M11-SIGNOFF-ASSIGNED, MSG-M11-SIGNOFF-REMIND, MSG-M11-SIGNOFF-DECLINED, MSG-M11-DISPOSAL-DUE. Errors: ERR-M11-MERGE (unknown merge token), ERR-M11-RETENTION (disposal before window), ERR-M11-SIGNER (signer unresolved); shared ERR-FORBIDDEN/LOADFAIL/REASON-REQ from Foundation §5.</w:t>
      </w:r>
      <w:bookmarkEnd w:id="20"/>
    </w:p>
    <w:p>
      <w:pPr>
        <w:pStyle w:val="Heading2"/>
        <w:rPr/>
      </w:pPr>
      <w:r>
        <w:rPr/>
        <w:t>9. Reference Register</w:t>
      </w:r>
    </w:p>
    <w:tbl>
      <w:tblPr>
        <w:tblStyle w:val="Table"/>
        <w:tblW w:w="7920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020" w:noHBand="0" w:noVBand="0" w:firstColumn="0" w:lastRow="0" w:lastColumn="0" w:firstRow="1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>
            <w:tcW w:w="1584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FS screen</w:t>
            </w:r>
          </w:p>
        </w:tc>
        <w:tc>
          <w:tcPr>
            <w:tcW w:w="1584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Prototype anchor</w:t>
            </w:r>
          </w:p>
        </w:tc>
        <w:tc>
          <w:tcPr>
            <w:tcW w:w="1584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BRD/Req ref</w:t>
            </w:r>
          </w:p>
        </w:tc>
        <w:tc>
          <w:tcPr>
            <w:tcW w:w="1584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Entities</w:t>
            </w:r>
          </w:p>
        </w:tc>
        <w:tc>
          <w:tcPr>
            <w:tcW w:w="1584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Shared ids</w:t>
            </w:r>
          </w:p>
        </w:tc>
      </w:tr>
      <w:tr>
        <w:trPr/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employee-vault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Personal documents (18 types)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Req C; §4.11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employee_documents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VAL-FILE, MSG-M11-*</w:t>
            </w:r>
          </w:p>
        </w:tc>
      </w:tr>
      <w:tr>
        <w:trPr/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generate-letter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+ Generate letter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Req D.4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letter_templates, employee_documents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JOB-M11-BULKLTR, VAL-M11-MERGE/SIGNER</w:t>
            </w:r>
          </w:p>
        </w:tc>
      </w:tr>
      <w:tr>
        <w:trPr/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doc-templates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Add/edit document templates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Req D.1–D.2; RBAC §4.3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letter_templates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Letter Admin flag</w:t>
            </w:r>
          </w:p>
        </w:tc>
      </w:tr>
      <w:tr>
        <w:trPr/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policy-library/detail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New/Assign/Policy Details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Req B; §9.6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policy_documents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MSG-M11-POLICY-PUBLISHED</w:t>
            </w:r>
          </w:p>
        </w:tc>
      </w:tr>
      <w:tr>
        <w:trPr/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signoff-tracker/report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Sign-offs · policy · letter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Req E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signoff_transactions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JOB-M11-SIGNOFF-REMIND</w:t>
            </w:r>
          </w:p>
        </w:tc>
      </w:tr>
      <w:tr>
        <w:trPr/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letterheads / doc-settings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Add/edit letterheads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Req A, D.3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config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VAL-FILE</w:t>
            </w:r>
            <w:bookmarkStart w:id="22" w:name="X57d726e95eb6d7fc01fabf9a779a6342321b2f1"/>
            <w:bookmarkEnd w:id="22"/>
          </w:p>
        </w:tc>
      </w:tr>
    </w:tbl>
    <w:p>
      <w:pPr>
        <w:pStyle w:val="Heading2"/>
        <w:rPr/>
      </w:pPr>
      <w:r>
        <w:rPr/>
        <w:t>10. Open Items — Resolution Register (v1.1)</w:t>
      </w:r>
    </w:p>
    <w:p>
      <w:pPr>
        <w:pStyle w:val="FirstParagraph"/>
        <w:rPr/>
      </w:pPr>
      <w:r>
        <w:rPr>
          <w:i/>
          <w:iCs/>
        </w:rPr>
        <w:t>All v1.0 open items resolved against BRD v2 and Prototype v2.</w:t>
      </w:r>
    </w:p>
    <w:tbl>
      <w:tblPr>
        <w:tblStyle w:val="Table"/>
        <w:tblW w:w="7920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020" w:noHBand="0" w:noVBand="0" w:firstColumn="0" w:lastRow="0" w:lastColumn="0" w:firstRow="1"/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tcW w:w="264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Id</w:t>
            </w:r>
          </w:p>
        </w:tc>
        <w:tc>
          <w:tcPr>
            <w:tcW w:w="264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Status</w:t>
            </w:r>
          </w:p>
        </w:tc>
        <w:tc>
          <w:tcPr>
            <w:tcW w:w="264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Resolution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OPEN-FS-M11-01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RESOLVED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Prototype gap closed. All M11 screens exist in Prototype v2 (policies, policy-ack, da-templates, da-vault, da-doc-master, da-categories, da-bulk-letters, da-letter-queue, da-signoff-tracker, cfg-doc-templates, cfg-letterheads, cfg-signers); the one missing global-settings screen was added as cfg-document-settings. FS §1.2/§9 anchors updated to these ids.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OPEN-FS-M11-02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RESOLVED (confirmed)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Phase-1 letter set locked: Offer, Appointment, NDA, Confidentiality, Probation Confirmation/Extension, Transfer, Separation/Experience. LTR_INC and LTR_PROMO depend on M10 Compensation and are generated in Phase 2.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OPEN-FS-M11-03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RESOLVED (tracked)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M11 shared ids registered for the Step-6 Foundation reconciliation: VAL-M11-MERGE/RETENTION/SIGNER → Foundation §2; JOB-M11-BULKLTR/RETENTION/DISPOSAL/SIGNOFF-REMIND → §4; MSG-M11-* → §5.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OPEN-FS-M11-04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RESOLVED (confirmed)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M11 owns the letter templates and the generation engine; M02 (onboarding cluster), M03 (separation letter) and M09 (promotion) trigger generation by reference, they do not own it.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OPEN-FS-M11-05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RESOLVED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Screen sweep complete: §2 screens reference DM decisions by code; none contradicts the M11.FS1 locked-decision register (BRD v2).</w:t>
            </w:r>
            <w:bookmarkStart w:id="23" w:name="Xb23b30757b22e67660f3345d0ec25e74d55c994"/>
            <w:bookmarkEnd w:id="23"/>
          </w:p>
        </w:tc>
      </w:tr>
    </w:tbl>
    <w:p>
      <w:pPr>
        <w:pStyle w:val="Heading1"/>
        <w:rPr/>
      </w:pPr>
      <w:r>
        <w:rPr/>
        <w:t>Prototype Sync Addendum — Batch 4: Employee-role Documents, letters &amp; policies review (June 2026)</w:t>
      </w:r>
    </w:p>
    <w:p>
      <w:pPr>
        <w:pStyle w:val="FirstParagraph"/>
        <w:rPr/>
      </w:pPr>
      <w:r>
        <w:rPr/>
        <w:t>Reflects the Batch-4 Employee-role review against the clickable prototype (v2). Complements — does not replace — the body of this FS.</w:t>
      </w:r>
    </w:p>
    <w:p>
      <w:pPr>
        <w:pStyle w:val="Heading2"/>
        <w:rPr/>
      </w:pPr>
      <w:bookmarkStart w:id="24" w:name="letter-acknowledgment"/>
      <w:r>
        <w:rPr/>
        <w:t>Letter acknowledgment</w:t>
      </w:r>
    </w:p>
    <w:p>
      <w:pPr>
        <w:pStyle w:val="FirstParagraph"/>
        <w:rPr/>
      </w:pPr>
      <w:r>
        <w:rPr/>
        <w:t xml:space="preserve">HR letters that are flagged acknowledgment-required expose an </w:t>
      </w:r>
      <w:r>
        <w:rPr>
          <w:b/>
          <w:bCs/>
        </w:rPr>
        <w:t>Acknowledge</w:t>
      </w:r>
      <w:r>
        <w:rPr/>
        <w:t xml:space="preserve"> action in the employee’s “HR letters issued to me” list. Acknowledgment opens a confirmation showing the configured </w:t>
      </w:r>
      <w:r>
        <w:rPr>
          <w:b/>
          <w:bCs/>
        </w:rPr>
        <w:t>HR Letter Acknowledgment Text</w:t>
      </w:r>
      <w:r>
        <w:rPr/>
        <w:t xml:space="preserve"> (“I confirm that I have read and understood this document”) and records actor and timestamp against the letter. Download remains available on every letter regardless of acknowledgment state.</w:t>
      </w:r>
      <w:bookmarkEnd w:id="24"/>
    </w:p>
    <w:p>
      <w:pPr>
        <w:pStyle w:val="Heading2"/>
        <w:rPr/>
      </w:pPr>
      <w:bookmarkStart w:id="25" w:name="Xc0b41681c7514388a8207d2b7640d54806b8924"/>
      <w:r>
        <w:rPr/>
        <w:t>Policy acknowledgment — confirm only, no decline</w:t>
      </w:r>
    </w:p>
    <w:p>
      <w:pPr>
        <w:pStyle w:val="FirstParagraph"/>
        <w:rPr/>
      </w:pPr>
      <w:r>
        <w:rPr/>
        <w:t>The employee acknowledgment queue (</w:t>
      </w:r>
      <w:r>
        <w:rPr>
          <w:rStyle w:val="VerbatimChar"/>
        </w:rPr>
        <w:t>policy-ack</w:t>
      </w:r>
      <w:r>
        <w:rPr/>
        <w:t xml:space="preserve">) acknowledges policies via a confirmation showing the configured </w:t>
      </w:r>
      <w:r>
        <w:rPr>
          <w:b/>
          <w:bCs/>
        </w:rPr>
        <w:t>HR Policy Sign-Off Text</w:t>
      </w:r>
      <w:r>
        <w:rPr/>
        <w:t xml:space="preserve"> (“I confirm that I have read and understood this document”). </w:t>
      </w:r>
      <w:r>
        <w:rPr>
          <w:b/>
          <w:bCs/>
        </w:rPr>
        <w:t>The employee cannot decline a policy</w:t>
      </w:r>
      <w:r>
        <w:rPr/>
        <w:t xml:space="preserve"> — acknowledgment is confirm-only; there is no employee decline path. Confirmation records actor and timestamp for HR and the HRBP. “Read” opens the document first.</w:t>
      </w:r>
      <w:bookmarkEnd w:id="25"/>
    </w:p>
    <w:p>
      <w:pPr>
        <w:pStyle w:val="Heading2"/>
        <w:rPr/>
      </w:pPr>
      <w:bookmarkStart w:id="26" w:name="document-categories"/>
      <w:r>
        <w:rPr/>
        <w:t>Document categories</w:t>
      </w:r>
    </w:p>
    <w:p>
      <w:pPr>
        <w:pStyle w:val="FirstParagraph"/>
        <w:rPr/>
      </w:pPr>
      <w:r>
        <w:rPr/>
        <w:t xml:space="preserve">Employee document upload and the official-documents view are classified by the </w:t>
      </w:r>
      <w:r>
        <w:rPr>
          <w:b/>
          <w:bCs/>
        </w:rPr>
        <w:t>four Document Categories</w:t>
      </w:r>
      <w:r>
        <w:rPr/>
        <w:t xml:space="preserve"> from the master: Personal Identification, Employment Documents, Education &amp; Training Certificates, and Health, Safety &amp; Compliance. The upload category list is bound to that master rather than an ad-hoc list, and official documents are presented under their category.</w:t>
      </w:r>
      <w:bookmarkEnd w:id="26"/>
    </w:p>
    <w:p>
      <w:pPr>
        <w:pStyle w:val="Heading2"/>
        <w:rPr/>
      </w:pPr>
      <w:bookmarkStart w:id="27" w:name="single-acknowledgment-surface"/>
      <w:r>
        <w:rPr/>
        <w:t>Single acknowledgment surface</w:t>
      </w:r>
    </w:p>
    <w:p>
      <w:pPr>
        <w:pStyle w:val="FirstParagraph"/>
        <w:rPr/>
      </w:pPr>
      <w:r>
        <w:rPr>
          <w:rStyle w:val="VerbatimChar"/>
        </w:rPr>
        <w:t>policy-ack</w:t>
      </w:r>
      <w:r>
        <w:rPr/>
        <w:t xml:space="preserve"> is the single </w:t>
      </w:r>
      <w:r>
        <w:rPr>
          <w:b/>
          <w:bCs/>
        </w:rPr>
        <w:t>action queue</w:t>
      </w:r>
      <w:r>
        <w:rPr/>
        <w:t xml:space="preserve"> for pending acknowledgments. The </w:t>
      </w:r>
      <w:r>
        <w:rPr>
          <w:rStyle w:val="VerbatimChar"/>
        </w:rPr>
        <w:t>policies</w:t>
      </w:r>
      <w:r>
        <w:rPr/>
        <w:t xml:space="preserve"> library is </w:t>
      </w:r>
      <w:r>
        <w:rPr>
          <w:b/>
          <w:bCs/>
        </w:rPr>
        <w:t>read-only</w:t>
      </w:r>
      <w:r>
        <w:rPr/>
        <w:t xml:space="preserve"> (view only); any item still pending acknowledgment links the employee to the queue rather than offering a second, parallel acknowledge action.</w:t>
      </w:r>
      <w:bookmarkEnd w:id="27"/>
    </w:p>
    <w:p>
      <w:pPr>
        <w:pStyle w:val="Heading2"/>
        <w:rPr/>
      </w:pPr>
      <w:bookmarkStart w:id="28" w:name="letter-requests"/>
      <w:r>
        <w:rPr/>
        <w:t>Letter requests</w:t>
      </w:r>
    </w:p>
    <w:p>
      <w:pPr>
        <w:pStyle w:val="FirstParagraph"/>
        <w:rPr/>
      </w:pPr>
      <w:r>
        <w:rPr/>
        <w:t xml:space="preserve">Employee letter requests (salary certificate, employment letter for visa/loan, experience letter, address-proof letter) are raised to HR and read as </w:t>
      </w:r>
      <w:r>
        <w:rPr>
          <w:b/>
          <w:bCs/>
        </w:rPr>
        <w:t>tracked requests</w:t>
      </w:r>
      <w:r>
        <w:rPr/>
        <w:t xml:space="preserve"> with a stated turnaround and a notification on issue. Employees do not self-generate letters — self-generation remains restricted to the configured permission holders.</w:t>
      </w:r>
      <w:bookmarkEnd w:id="28"/>
    </w:p>
    <w:p>
      <w:pPr>
        <w:pStyle w:val="Heading2"/>
        <w:rPr/>
      </w:pPr>
      <w:bookmarkStart w:id="29" w:name="out-of-scope--deferred"/>
      <w:r>
        <w:rPr/>
        <w:t>Out of scope / deferred</w:t>
      </w:r>
    </w:p>
    <w:p>
      <w:pPr>
        <w:pStyle w:val="FirstParagraph"/>
        <w:rPr/>
      </w:pPr>
      <w:r>
        <w:rPr/>
        <w:t xml:space="preserve">Payslips and payroll are </w:t>
      </w:r>
      <w:r>
        <w:rPr>
          <w:b/>
          <w:bCs/>
        </w:rPr>
        <w:t>out of scope</w:t>
      </w:r>
      <w:r>
        <w:rPr/>
        <w:t xml:space="preserve"> (no payroll module). Visa / work-permit document capture is </w:t>
      </w:r>
      <w:r>
        <w:rPr>
          <w:b/>
          <w:bCs/>
        </w:rPr>
        <w:t>Phase 2</w:t>
      </w:r>
      <w:r>
        <w:rPr/>
        <w:t>.</w:t>
      </w:r>
      <w:bookmarkEnd w:id="29"/>
    </w:p>
    <w:p>
      <w:pPr>
        <w:pStyle w:val="Heading1"/>
        <w:rPr/>
      </w:pPr>
      <w:bookmarkStart w:id="30" w:name="appendix--document-types-provenance"/>
      <w:r>
        <w:rPr/>
        <w:t>Appendix — Document types (provenance)</w:t>
      </w:r>
    </w:p>
    <w:p>
      <w:pPr>
        <w:pStyle w:val="FirstParagraph"/>
        <w:rPr/>
      </w:pPr>
      <w:r>
        <w:rPr>
          <w:i/>
          <w:iCs/>
        </w:rPr>
        <w:t>Single source for the document types referenced by M01 (Statutory &amp; Documents tabs) and the employee profile. Each type lists where it is entered, when, and by whom.</w:t>
      </w:r>
    </w:p>
    <w:tbl>
      <w:tblPr>
        <w:tblStyle w:val="Table"/>
        <w:tblW w:w="7920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020" w:noHBand="0" w:noVBand="0" w:firstColumn="0" w:lastRow="0" w:lastColumn="0" w:firstRow="1"/>
      </w:tblPr>
      <w:tblGrid>
        <w:gridCol w:w="1980"/>
        <w:gridCol w:w="1980"/>
        <w:gridCol w:w="1980"/>
        <w:gridCol w:w="1979"/>
      </w:tblGrid>
      <w:tr>
        <w:trPr>
          <w:tblHeader w:val="true"/>
        </w:trPr>
        <w:tc>
          <w:tcPr>
            <w:tcW w:w="198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Document type</w:t>
            </w:r>
          </w:p>
        </w:tc>
        <w:tc>
          <w:tcPr>
            <w:tcW w:w="198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Source / master</w:t>
            </w:r>
          </w:p>
        </w:tc>
        <w:tc>
          <w:tcPr>
            <w:tcW w:w="198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Entered by</w:t>
            </w:r>
          </w:p>
        </w:tc>
        <w:tc>
          <w:tcPr>
            <w:tcW w:w="1979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When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Document categories (4)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document_categories (Document_Category master)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Org Admin (defines categories)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Configuration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Letter / template formats (6)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document_template_formats (Document Template Name Formats)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Document Admin / HR Admin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Configuration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National-ID documents (8 types)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statutory_identities / National-ID config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Employee (onboarding) or HR Admin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Onboarding / profile update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HR letters (offer, appraisal, transfer, ID card, …)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letter_templates → employee_documents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HR Admin (generated); employee views/downloads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On issue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Onboarding &amp; undertaking documents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employee_documents (M02)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Candidate/Employee upload; HR verifies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Onboarding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Policy documents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policy_documents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Document Admin / HR Admin (publish); employee acknowledges (Task)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On publish / acknowledgement</w:t>
            </w:r>
          </w:p>
        </w:tc>
      </w:tr>
    </w:tbl>
    <w:p>
      <w:pPr>
        <w:pStyle w:val="BodyText"/>
        <w:spacing w:before="180" w:after="180"/>
        <w:rPr/>
      </w:pPr>
      <w:bookmarkStart w:id="31" w:name="appendix--document-types-provenance"/>
      <w:r>
        <w:rPr>
          <w:i/>
          <w:iCs/>
        </w:rPr>
        <w:t>The employee-facing Statutory &amp; benefits field provenance (PF/EPS/ESIC/Gratuity/LWF/PT) is in M01 §2.1 / §2.9 (entered &amp; maintained by HR Admin; values bind to statutory masters).</w:t>
      </w:r>
      <w:bookmarkEnd w:id="31"/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mbria"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Consolas"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embedSystemFonts/>
  <w:defaultTabStop w:val="720"/>
  <w:autoHyphenation w:val="true"/>
  <w:compat>
    <w:compatSetting w:name="compatibilityMode" w:uri="http://schemas.microsoft.com/office/word" w:val="12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Cambria" w:cs="" w:asciiTheme="minorHAnsi" w:cstheme="minorBidi" w:eastAsiaTheme="minorHAnsi" w:hAnsiTheme="minorHAnsi"/>
        <w:sz w:val="24"/>
        <w:szCs w:val="24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0" w:defSemiHidden="0" w:defUnhideWhenUsed="0" w:defQFormat="0" w:count="276"/>
  <w:style w:type="paragraph" w:styleId="Normal" w:default="1">
    <w:name w:val="Normal"/>
    <w:qFormat/>
    <w:pPr>
      <w:widowControl/>
      <w:bidi w:val="0"/>
      <w:spacing w:before="0" w:after="200"/>
      <w:jc w:val="start"/>
    </w:pPr>
    <w:rPr>
      <w:rFonts w:ascii="Cambria" w:hAnsi="Cambria" w:eastAsia="Cambria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Heading1">
    <w:name w:val="Heading 1"/>
    <w:basedOn w:val="Normal"/>
    <w:next w:val="BodyText"/>
    <w:uiPriority w:val="9"/>
    <w:qFormat/>
    <w:pPr>
      <w:keepNext w:val="true"/>
      <w:keepLines/>
      <w:spacing w:before="480" w:after="0"/>
      <w:outlineLvl w:val="0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 w:val="true"/>
      <w:keepLines/>
      <w:spacing w:before="200" w:after="0"/>
      <w:outlineLvl w:val="1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 w:val="true"/>
      <w:keepLines/>
      <w:spacing w:before="200" w:after="0"/>
      <w:outlineLvl w:val="2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 w:val="true"/>
      <w:keepLines/>
      <w:spacing w:before="200" w:after="0"/>
      <w:outlineLvl w:val="3"/>
    </w:pPr>
    <w:rPr>
      <w:rFonts w:ascii="Calibri" w:hAnsi="Calibri" w:eastAsia="" w:cs=""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 w:val="true"/>
      <w:keepLines/>
      <w:spacing w:before="200" w:after="0"/>
      <w:outlineLvl w:val="4"/>
    </w:pPr>
    <w:rPr>
      <w:rFonts w:ascii="Calibri" w:hAnsi="Calibri" w:eastAsia="" w:cs="" w:asciiTheme="majorHAnsi" w:cstheme="majorBidi" w:eastAsiaTheme="majorEastAsia" w:hAnsiTheme="majorHAnsi"/>
      <w:iCs/>
      <w:color w:themeColor="accent1" w:val="4F81BD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 w:val="true"/>
      <w:keepLines/>
      <w:spacing w:before="200" w:after="0"/>
      <w:outlineLvl w:val="5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 w:val="true"/>
      <w:keepLines/>
      <w:spacing w:before="200" w:after="0"/>
      <w:outlineLvl w:val="6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 w:val="true"/>
      <w:keepLines/>
      <w:spacing w:before="200" w:after="0"/>
      <w:outlineLvl w:val="7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 w:val="true"/>
      <w:keepLines/>
      <w:spacing w:before="200" w:after="0"/>
      <w:outlineLvl w:val="8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  <w:szCs w:val="24"/>
    </w:rPr>
  </w:style>
  <w:style w:type="character" w:styleId="DefaultParagraphFont" w:default="1">
    <w:name w:val="Default Paragraph Font"/>
    <w:semiHidden/>
    <w:unhideWhenUsed/>
    <w:qFormat/>
    <w:rPr/>
  </w:style>
  <w:style w:type="character" w:styleId="BodyTextChar" w:customStyle="1">
    <w:name w:val="Body Text Char"/>
    <w:basedOn w:val="DefaultParagraphFont"/>
    <w:qFormat/>
    <w:rPr/>
  </w:style>
  <w:style w:type="character" w:styleId="VerbatimChar" w:customStyle="1">
    <w:name w:val="Verbatim Char"/>
    <w:basedOn w:val="BodyTextChar"/>
    <w:qFormat/>
    <w:rPr>
      <w:rFonts w:ascii="Consolas" w:hAnsi="Consolas"/>
      <w:sz w:val="22"/>
    </w:rPr>
  </w:style>
  <w:style w:type="character" w:styleId="SectionNumber" w:customStyle="1">
    <w:name w:val="Section Number"/>
    <w:basedOn w:val="BodyTextChar"/>
    <w:qFormat/>
    <w:rPr/>
  </w:style>
  <w:style w:type="character" w:styleId="FootnoteCharacters">
    <w:name w:val="Footnote Characters"/>
    <w:basedOn w:val="BodyTextChar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Hyperlink">
    <w:name w:val="Hyperlink"/>
    <w:basedOn w:val="BodyTextChar"/>
    <w:rPr>
      <w:color w:themeColor="accent1" w:val="4F81BD"/>
    </w:rPr>
  </w:style>
  <w:style w:type="character" w:styleId="KeywordTok" w:customStyle="1">
    <w:name w:val="KeywordTok"/>
    <w:basedOn w:val="VerbatimChar"/>
    <w:qFormat/>
    <w:rPr>
      <w:b/>
      <w:color w:val="007020"/>
    </w:rPr>
  </w:style>
  <w:style w:type="character" w:styleId="DataTypeTok" w:customStyle="1">
    <w:name w:val="DataTypeTok"/>
    <w:basedOn w:val="VerbatimChar"/>
    <w:qFormat/>
    <w:rPr>
      <w:color w:val="902000"/>
    </w:rPr>
  </w:style>
  <w:style w:type="character" w:styleId="DecValTok" w:customStyle="1">
    <w:name w:val="DecValTok"/>
    <w:basedOn w:val="VerbatimChar"/>
    <w:qFormat/>
    <w:rPr>
      <w:color w:val="40A070"/>
    </w:rPr>
  </w:style>
  <w:style w:type="character" w:styleId="BaseNTok" w:customStyle="1">
    <w:name w:val="BaseNTok"/>
    <w:basedOn w:val="VerbatimChar"/>
    <w:qFormat/>
    <w:rPr>
      <w:color w:val="40A070"/>
    </w:rPr>
  </w:style>
  <w:style w:type="character" w:styleId="FloatTok" w:customStyle="1">
    <w:name w:val="FloatTok"/>
    <w:basedOn w:val="VerbatimChar"/>
    <w:qFormat/>
    <w:rPr>
      <w:color w:val="40A070"/>
    </w:rPr>
  </w:style>
  <w:style w:type="character" w:styleId="ConstantTok" w:customStyle="1">
    <w:name w:val="ConstantTok"/>
    <w:basedOn w:val="VerbatimChar"/>
    <w:qFormat/>
    <w:rPr>
      <w:color w:val="880000"/>
    </w:rPr>
  </w:style>
  <w:style w:type="character" w:styleId="CharTok" w:customStyle="1">
    <w:name w:val="CharTok"/>
    <w:basedOn w:val="VerbatimChar"/>
    <w:qFormat/>
    <w:rPr>
      <w:color w:val="4070A0"/>
    </w:rPr>
  </w:style>
  <w:style w:type="character" w:styleId="SpecialCharTok" w:customStyle="1">
    <w:name w:val="SpecialCharTok"/>
    <w:basedOn w:val="VerbatimChar"/>
    <w:qFormat/>
    <w:rPr>
      <w:color w:val="4070A0"/>
    </w:rPr>
  </w:style>
  <w:style w:type="character" w:styleId="StringTok" w:customStyle="1">
    <w:name w:val="StringTok"/>
    <w:basedOn w:val="VerbatimChar"/>
    <w:qFormat/>
    <w:rPr>
      <w:color w:val="4070A0"/>
    </w:rPr>
  </w:style>
  <w:style w:type="character" w:styleId="VerbatimStringTok" w:customStyle="1">
    <w:name w:val="VerbatimStringTok"/>
    <w:basedOn w:val="VerbatimChar"/>
    <w:qFormat/>
    <w:rPr>
      <w:color w:val="4070A0"/>
    </w:rPr>
  </w:style>
  <w:style w:type="character" w:styleId="SpecialStringTok" w:customStyle="1">
    <w:name w:val="SpecialStringTok"/>
    <w:basedOn w:val="VerbatimChar"/>
    <w:qFormat/>
    <w:rPr>
      <w:color w:val="BB6688"/>
    </w:rPr>
  </w:style>
  <w:style w:type="character" w:styleId="ImportTok" w:customStyle="1">
    <w:name w:val="ImportTok"/>
    <w:basedOn w:val="VerbatimChar"/>
    <w:qFormat/>
    <w:rPr>
      <w:b/>
      <w:color w:val="008000"/>
    </w:rPr>
  </w:style>
  <w:style w:type="character" w:styleId="CommentTok" w:customStyle="1">
    <w:name w:val="CommentTok"/>
    <w:basedOn w:val="VerbatimChar"/>
    <w:qFormat/>
    <w:rPr>
      <w:i/>
      <w:color w:val="60A0B0"/>
    </w:rPr>
  </w:style>
  <w:style w:type="character" w:styleId="DocumentationTok" w:customStyle="1">
    <w:name w:val="DocumentationTok"/>
    <w:basedOn w:val="VerbatimChar"/>
    <w:qFormat/>
    <w:rPr>
      <w:i/>
      <w:color w:val="BA2121"/>
    </w:rPr>
  </w:style>
  <w:style w:type="character" w:styleId="AnnotationTok" w:customStyle="1">
    <w:name w:val="AnnotationTok"/>
    <w:basedOn w:val="VerbatimChar"/>
    <w:qFormat/>
    <w:rPr>
      <w:b/>
      <w:i/>
      <w:color w:val="60A0B0"/>
    </w:rPr>
  </w:style>
  <w:style w:type="character" w:styleId="CommentVarTok" w:customStyle="1">
    <w:name w:val="CommentVarTok"/>
    <w:basedOn w:val="VerbatimChar"/>
    <w:qFormat/>
    <w:rPr>
      <w:b/>
      <w:i/>
      <w:color w:val="60A0B0"/>
    </w:rPr>
  </w:style>
  <w:style w:type="character" w:styleId="OtherTok" w:customStyle="1">
    <w:name w:val="OtherTok"/>
    <w:basedOn w:val="VerbatimChar"/>
    <w:qFormat/>
    <w:rPr>
      <w:color w:val="007020"/>
    </w:rPr>
  </w:style>
  <w:style w:type="character" w:styleId="FunctionTok" w:customStyle="1">
    <w:name w:val="FunctionTok"/>
    <w:basedOn w:val="VerbatimChar"/>
    <w:qFormat/>
    <w:rPr>
      <w:color w:val="06287E"/>
    </w:rPr>
  </w:style>
  <w:style w:type="character" w:styleId="VariableTok" w:customStyle="1">
    <w:name w:val="VariableTok"/>
    <w:basedOn w:val="VerbatimChar"/>
    <w:qFormat/>
    <w:rPr>
      <w:color w:val="19177C"/>
    </w:rPr>
  </w:style>
  <w:style w:type="character" w:styleId="ControlFlowTok" w:customStyle="1">
    <w:name w:val="ControlFlowTok"/>
    <w:basedOn w:val="VerbatimChar"/>
    <w:qFormat/>
    <w:rPr>
      <w:b/>
      <w:color w:val="007020"/>
    </w:rPr>
  </w:style>
  <w:style w:type="character" w:styleId="OperatorTok" w:customStyle="1">
    <w:name w:val="OperatorTok"/>
    <w:basedOn w:val="VerbatimChar"/>
    <w:qFormat/>
    <w:rPr>
      <w:color w:val="666666"/>
    </w:rPr>
  </w:style>
  <w:style w:type="character" w:styleId="BuiltInTok" w:customStyle="1">
    <w:name w:val="BuiltInTok"/>
    <w:basedOn w:val="VerbatimChar"/>
    <w:qFormat/>
    <w:rPr>
      <w:color w:val="008000"/>
    </w:rPr>
  </w:style>
  <w:style w:type="character" w:styleId="ExtensionTok" w:customStyle="1">
    <w:name w:val="ExtensionTok"/>
    <w:basedOn w:val="VerbatimChar"/>
    <w:qFormat/>
    <w:rPr/>
  </w:style>
  <w:style w:type="character" w:styleId="PreprocessorTok" w:customStyle="1">
    <w:name w:val="PreprocessorTok"/>
    <w:basedOn w:val="VerbatimChar"/>
    <w:qFormat/>
    <w:rPr>
      <w:color w:val="BC7A00"/>
    </w:rPr>
  </w:style>
  <w:style w:type="character" w:styleId="AttributeTok" w:customStyle="1">
    <w:name w:val="AttributeTok"/>
    <w:basedOn w:val="VerbatimChar"/>
    <w:qFormat/>
    <w:rPr>
      <w:color w:val="7D9029"/>
    </w:rPr>
  </w:style>
  <w:style w:type="character" w:styleId="RegionMarkerTok" w:customStyle="1">
    <w:name w:val="RegionMarkerTok"/>
    <w:basedOn w:val="VerbatimChar"/>
    <w:qFormat/>
    <w:rPr/>
  </w:style>
  <w:style w:type="character" w:styleId="InformationTok" w:customStyle="1">
    <w:name w:val="InformationTok"/>
    <w:basedOn w:val="VerbatimChar"/>
    <w:qFormat/>
    <w:rPr>
      <w:b/>
      <w:i/>
      <w:color w:val="60A0B0"/>
    </w:rPr>
  </w:style>
  <w:style w:type="character" w:styleId="WarningTok" w:customStyle="1">
    <w:name w:val="WarningTok"/>
    <w:basedOn w:val="VerbatimChar"/>
    <w:qFormat/>
    <w:rPr>
      <w:b/>
      <w:i/>
      <w:color w:val="60A0B0"/>
    </w:rPr>
  </w:style>
  <w:style w:type="character" w:styleId="AlertTok" w:customStyle="1">
    <w:name w:val="AlertTok"/>
    <w:basedOn w:val="VerbatimChar"/>
    <w:qFormat/>
    <w:rPr>
      <w:b/>
      <w:color w:val="FF0000"/>
    </w:rPr>
  </w:style>
  <w:style w:type="character" w:styleId="ErrorTok" w:customStyle="1">
    <w:name w:val="ErrorTok"/>
    <w:basedOn w:val="VerbatimChar"/>
    <w:qFormat/>
    <w:rPr>
      <w:b/>
      <w:color w:val="FF0000"/>
    </w:rPr>
  </w:style>
  <w:style w:type="character" w:styleId="NormalTok" w:customStyle="1">
    <w:name w:val="NormalTok"/>
    <w:basedOn w:val="VerbatimChar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link w:val="BodyTextChar"/>
    <w:qFormat/>
    <w:pPr>
      <w:spacing w:before="180" w:after="18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link w:val="BodyTextChar"/>
    <w:qFormat/>
    <w:pPr>
      <w:spacing w:before="0" w:after="120"/>
    </w:pPr>
    <w:rPr>
      <w:i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FirstParagraph" w:customStyle="1">
    <w:name w:val="First Paragraph"/>
    <w:basedOn w:val="BodyText"/>
    <w:next w:val="BodyText"/>
    <w:qFormat/>
    <w:pPr/>
    <w:rPr/>
  </w:style>
  <w:style w:type="paragraph" w:styleId="Compact" w:customStyle="1">
    <w:name w:val="Compact"/>
    <w:basedOn w:val="BodyText"/>
    <w:qFormat/>
    <w:pPr>
      <w:spacing w:before="36" w:after="36"/>
    </w:pPr>
    <w:rPr/>
  </w:style>
  <w:style w:type="paragraph" w:styleId="Title">
    <w:name w:val="Title"/>
    <w:basedOn w:val="Normal"/>
    <w:next w:val="BodyText"/>
    <w:qFormat/>
    <w:pPr>
      <w:keepNext w:val="true"/>
      <w:keepLines/>
      <w:spacing w:before="480" w:after="240"/>
      <w:jc w:val="center"/>
    </w:pPr>
    <w:rPr>
      <w:rFonts w:ascii="Calibri" w:hAnsi="Calibri" w:eastAsia="" w:cs=""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type="paragraph" w:styleId="Subtitle">
    <w:name w:val="Subtitle"/>
    <w:basedOn w:val="Title"/>
    <w:next w:val="BodyText"/>
    <w:qFormat/>
    <w:pPr>
      <w:keepNext w:val="true"/>
      <w:keepLines/>
      <w:spacing w:before="240" w:after="240"/>
      <w:jc w:val="center"/>
    </w:pPr>
    <w:rPr>
      <w:sz w:val="30"/>
      <w:szCs w:val="30"/>
    </w:rPr>
  </w:style>
  <w:style w:type="paragraph" w:styleId="Author" w:customStyle="1">
    <w:name w:val="Author"/>
    <w:next w:val="BodyText"/>
    <w:qFormat/>
    <w:pPr>
      <w:keepNext w:val="true"/>
      <w:keepLines/>
      <w:widowControl/>
      <w:bidi w:val="0"/>
      <w:spacing w:before="0" w:after="200"/>
      <w:jc w:val="center"/>
    </w:pPr>
    <w:rPr>
      <w:rFonts w:ascii="Cambria" w:hAnsi="Cambria" w:eastAsia="Cambria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Date">
    <w:name w:val="Date"/>
    <w:next w:val="BodyText"/>
    <w:qFormat/>
    <w:pPr>
      <w:keepNext w:val="true"/>
      <w:keepLines/>
      <w:widowControl/>
      <w:bidi w:val="0"/>
      <w:spacing w:before="0" w:after="200"/>
      <w:jc w:val="center"/>
    </w:pPr>
    <w:rPr>
      <w:rFonts w:ascii="Cambria" w:hAnsi="Cambria" w:eastAsia="Cambria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AbstractTitle" w:customStyle="1">
    <w:name w:val="Abstract Title"/>
    <w:basedOn w:val="Normal"/>
    <w:next w:val="Abstract"/>
    <w:qFormat/>
    <w:pPr>
      <w:keepNext w:val="true"/>
      <w:keepLines/>
      <w:spacing w:before="300" w:after="0"/>
      <w:jc w:val="center"/>
    </w:pPr>
    <w:rPr>
      <w:b/>
      <w:color w:val="345A8A"/>
      <w:sz w:val="20"/>
      <w:szCs w:val="20"/>
    </w:rPr>
  </w:style>
  <w:style w:type="paragraph" w:styleId="Abstract" w:customStyle="1">
    <w:name w:val="Abstract"/>
    <w:basedOn w:val="Normal"/>
    <w:next w:val="BodyText"/>
    <w:qFormat/>
    <w:pPr>
      <w:keepNext w:val="true"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  <w:pPr/>
    <w:rPr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hanging="0" w:start="480" w:end="480"/>
    </w:pPr>
    <w:rPr/>
  </w:style>
  <w:style w:type="paragraph" w:styleId="FootnoteText">
    <w:name w:val="Footnote Text"/>
    <w:basedOn w:val="Normal"/>
    <w:uiPriority w:val="9"/>
    <w:unhideWhenUsed/>
    <w:qFormat/>
    <w:pPr/>
    <w:rPr/>
  </w:style>
  <w:style w:type="paragraph" w:styleId="DefinitionTerm" w:customStyle="1">
    <w:name w:val="Definition Term"/>
    <w:basedOn w:val="Normal"/>
    <w:next w:val="Definition"/>
    <w:qFormat/>
    <w:pPr>
      <w:keepNext w:val="true"/>
      <w:keepLines/>
      <w:spacing w:before="0" w:after="0"/>
    </w:pPr>
    <w:rPr>
      <w:b/>
    </w:rPr>
  </w:style>
  <w:style w:type="paragraph" w:styleId="Definition" w:customStyle="1">
    <w:name w:val="Definition"/>
    <w:basedOn w:val="Normal"/>
    <w:qFormat/>
    <w:pPr/>
    <w:rPr/>
  </w:style>
  <w:style w:type="paragraph" w:styleId="TableCaption" w:customStyle="1">
    <w:name w:val="Table Caption"/>
    <w:basedOn w:val="Caption"/>
    <w:qFormat/>
    <w:pPr>
      <w:keepNext w:val="true"/>
    </w:pPr>
    <w:rPr/>
  </w:style>
  <w:style w:type="paragraph" w:styleId="ImageCaption" w:customStyle="1">
    <w:name w:val="Image Caption"/>
    <w:basedOn w:val="Caption"/>
    <w:qFormat/>
    <w:pPr/>
    <w:rPr/>
  </w:style>
  <w:style w:type="paragraph" w:styleId="Figure" w:customStyle="1">
    <w:name w:val="Figure"/>
    <w:basedOn w:val="Normal"/>
    <w:qFormat/>
    <w:pPr/>
    <w:rPr/>
  </w:style>
  <w:style w:type="paragraph" w:styleId="CaptionedFigure" w:customStyle="1">
    <w:name w:val="Captioned Figure"/>
    <w:basedOn w:val="Figure"/>
    <w:qFormat/>
    <w:pPr>
      <w:keepNext w:val="true"/>
    </w:pPr>
    <w:rPr/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BodyText"/>
    <w:uiPriority w:val="39"/>
    <w:unhideWhenUsed/>
    <w:qFormat/>
    <w:pPr>
      <w:spacing w:lineRule="auto" w:line="259" w:before="240" w:after="0"/>
      <w:outlineLvl w:val="9"/>
    </w:pPr>
    <w:rPr>
      <w:rFonts w:ascii="Calibri" w:hAnsi="Calibri" w:eastAsia="" w:cs="" w:asciiTheme="majorHAnsi" w:cstheme="majorBidi" w:eastAsiaTheme="majorEastAsia" w:hAnsiTheme="majorHAnsi"/>
      <w:b w:val="false"/>
      <w:bCs w:val="false"/>
      <w:color w:themeColor="accent1" w:themeShade="bf" w:val="365F91"/>
    </w:rPr>
  </w:style>
  <w:style w:type="paragraph" w:styleId="SourceCode" w:customStyle="1">
    <w:name w:val="Source Code"/>
    <w:basedOn w:val="Normal"/>
    <w:link w:val="VerbatimChar"/>
    <w:qFormat/>
    <w:pPr/>
    <w:rPr/>
  </w:style>
  <w:style w:type="table" w:default="1" w:styleId="Table">
    <w:name w:val="Table"/>
    <w:basedOn w:val="TableNormal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/>
        </w:tcBorders>
        <w:vAlign w:val="bottom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Application>LibreOffice/24.2.7.2$Linux_X86_64 LibreOffice_project/420$Build-2</Application>
  <AppVersion>15.0000</AppVersion>
  <Pages>1</Pages>
  <Words>83</Words>
  <Characters>475</Characters>
  <CharactersWithSpaces>583</CharactersWithSpaces>
  <Paragraphs>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2026-06-19T05:56:41Z</dcterms:created>
  <dc:creator/>
  <dc:description/>
  <dc:language>en-US</dc:language>
  <cp:lastModifiedBy/>
  <dcterms:modified xsi:type="dcterms:W3CDTF">2026-06-19T05:56:41Z</dcterms:modified>
  <cp:revision>0</cp:revision>
  <dc:subject/>
  <dc:title>FS ��� M11 Document Management v1.3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