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864"/>
          <w:sz w:val="52"/>
        </w:rPr>
        <w:t xml:space="preserve"> Adversarial Idea Evaluator — Council Report</w:t>
      </w:r>
    </w:p>
    <w:p>
      <w:pPr>
        <w:jc w:val="center"/>
      </w:pPr>
      <w:r>
        <w:rPr>
          <w:color w:val="2E5B9E"/>
          <w:sz w:val="28"/>
        </w:rPr>
        <w:t>Business Requirements Document</w:t>
      </w:r>
    </w:p>
    <w:p>
      <w:pPr>
        <w:jc w:val="center"/>
      </w:pPr>
      <w:r>
        <w:rPr>
          <w:color w:val="999999"/>
          <w:sz w:val="22"/>
        </w:rPr>
        <w:t>CONFIDENTIAL</w:t>
      </w:r>
    </w:p>
    <w:p>
      <w:r>
        <w:br w:type="page"/>
      </w:r>
    </w:p>
    <w:p>
      <w:r>
        <w:rPr>
          <w:b/>
          <w:color w:val="1F3864"/>
          <w:sz w:val="32"/>
        </w:rPr>
        <w:t>Table of Contents</w:t>
      </w:r>
    </w:p>
    <w:p>
      <w:r>
        <w:fldChar w:fldCharType="begin"/>
        <w:instrText xml:space="preserve">TOC \o "1-3" \h \z \u</w:instrText>
        <w:fldChar w:fldCharType="separate"/>
        <w:t/>
        <w:fldChar w:fldCharType="end"/>
      </w:r>
    </w:p>
    <w:p>
      <w:r>
        <w:br w:type="page"/>
      </w:r>
    </w:p>
    <w:p>
      <w:pPr>
        <w:pStyle w:val="Heading2"/>
      </w:pPr>
      <w:r>
        <w:rPr>
          <w:b/>
          <w:color w:val="1F3864"/>
          <w:sz w:val="30"/>
        </w:rPr>
        <w:t>M05-TRJ — Employee Transfer, Relieving and Joining Workflow (BRD v1.0)</w:t>
      </w:r>
    </w:p>
    <w:p>
      <w:r>
        <w:rPr>
          <w:b/>
        </w:rPr>
        <w:t>Framed question:</w:t>
      </w:r>
      <w:r>
        <w:t xml:space="preserve"> Is this Transfer, Relieving and Joining Workflow BRD complete, correct, and world-class (transfer orders, clearance/no-dues, charge handover, joining, transit status, SR posting) for a leading global organisation's HRMS with public-sector statutory needs? What is missing, wrong, risky, over-engineered, or below best-in-class, and what concrete changes make it bulletproof?</w:t>
      </w:r>
    </w:p>
    <w:p>
      <w:r>
        <w:rPr>
          <w:b/>
        </w:rPr>
        <w:t>Inputs reviewed:</w:t>
      </w:r>
      <w:r>
        <w:t xml:space="preserve"> </w:t>
      </w:r>
      <w:r>
        <w:rPr>
          <w:rFonts w:ascii="Consolas" w:hAnsi="Consolas"/>
          <w:sz w:val="20"/>
        </w:rPr>
        <w:t>/Users/n15318/hrms/docs/brd/v1/M05-transfer-relieving-joining-workflow.md</w:t>
      </w:r>
      <w:r>
        <w:t xml:space="preserve">, </w:t>
      </w:r>
      <w:r>
        <w:rPr>
          <w:rFonts w:ascii="Consolas" w:hAnsi="Consolas"/>
          <w:sz w:val="20"/>
        </w:rPr>
        <w:t>/Users/n15318/hrms/docs/brd/SHARED_FOUNDATION.md</w:t>
      </w:r>
    </w:p>
    <w:p>
      <w:pPr>
        <w:pStyle w:val="Heading2"/>
      </w:pPr>
      <w:r>
        <w:rPr>
          <w:b/>
          <w:color w:val="1F3864"/>
          <w:sz w:val="30"/>
        </w:rPr>
        <w:t>Part 1 — Five Advisors (independent)</w:t>
      </w:r>
    </w:p>
    <w:p>
      <w:pPr>
        <w:pStyle w:val="Heading3"/>
      </w:pPr>
      <w:r>
        <w:rPr>
          <w:b/>
          <w:color w:val="2E5B9E"/>
          <w:sz w:val="26"/>
        </w:rPr>
        <w:t>Advisor 1 — The Proponent</w:t>
      </w:r>
    </w:p>
    <w:p>
      <w:r>
        <w:t xml:space="preserve">This is a genuinely strong, build-ready BRD that already clears most of the "world-class" bar. The lifecycle is modelled end-to-end and the state machine is coherent: </w:t>
      </w:r>
      <w:r>
        <w:rPr>
          <w:rFonts w:ascii="Consolas" w:hAnsi="Consolas"/>
          <w:sz w:val="20"/>
        </w:rPr>
        <w:t>DRAFT → PENDING_APPROVAL → APPROVED → PUBLISHED → RELIEVING_IN_PROGRESS → RELIEVED → IN_TRANSIT → JOINED</w:t>
      </w:r>
      <w:r>
        <w:t xml:space="preserve">, with amend/cancel/revoke branches that correctly distinguish pre-relief from post-relief corrective actions. Few public-sector HRMS specs get the *transit* concept explicit at all; this one makes </w:t>
      </w:r>
      <w:r>
        <w:rPr>
          <w:rFonts w:ascii="Consolas" w:hAnsi="Consolas"/>
          <w:sz w:val="20"/>
        </w:rPr>
        <w:t>IN_TRANSIT</w:t>
      </w:r>
      <w:r>
        <w:t xml:space="preserve"> a first-class state with an in-transit register, joining-time computation, and overdue escalation (FR-TRJ-009). That alone puts it ahead of most legacy HRMS deployments.</w:t>
      </w:r>
    </w:p>
    <w:p>
      <w:r>
        <w:t>The integration discipline is excellent. M05 correctly declares itself a *writer* to M12 (SR) and M01 (posting), a *signaller* to M10 (pay-stop/start/LPC), and a *referencer* to M13 (documents), with a transactional-outbox pattern (§16.3, FR-TRJ-012) for guaranteed delivery and idempotency keys to prevent duplicate SR events. The ownership/reuse matrix (§5.4) and the "0 unresolved gaps" reconciliation table (§14.4) show the author thought hard about not re-defining shared entities — exactly what the SHARED_FOUNDATION demands.</w:t>
      </w:r>
    </w:p>
    <w:p>
      <w:r>
        <w:t xml:space="preserve">The statutory texture is real, not cosmetic: ban/freeze windows with </w:t>
      </w:r>
      <w:r>
        <w:rPr>
          <w:rFonts w:ascii="Consolas" w:hAnsi="Consolas"/>
          <w:sz w:val="20"/>
        </w:rPr>
        <w:t>exception_grounds</w:t>
      </w:r>
      <w:r>
        <w:t xml:space="preserve">, protected categories (spouse/medical/differently-abled/near-retirement/single-parent), </w:t>
      </w:r>
      <w:r>
        <w:rPr>
          <w:rFonts w:ascii="Consolas" w:hAnsi="Consolas"/>
          <w:sz w:val="20"/>
        </w:rPr>
        <w:t>enforcement</w:t>
      </w:r>
      <w:r>
        <w:t xml:space="preserve"> modes (</w:t>
      </w:r>
      <w:r>
        <w:rPr>
          <w:rFonts w:ascii="Consolas" w:hAnsi="Consolas"/>
          <w:sz w:val="20"/>
        </w:rPr>
        <w:t>HARD_BLOCK</w:t>
      </w:r>
      <w:r>
        <w:t>/</w:t>
      </w:r>
      <w:r>
        <w:rPr>
          <w:rFonts w:ascii="Consolas" w:hAnsi="Consolas"/>
          <w:sz w:val="20"/>
        </w:rPr>
        <w:t>SOFT_WARN</w:t>
      </w:r>
      <w:r>
        <w:t>/</w:t>
      </w:r>
      <w:r>
        <w:rPr>
          <w:rFonts w:ascii="Consolas" w:hAnsi="Consolas"/>
          <w:sz w:val="20"/>
        </w:rPr>
        <w:t>REQUIRE_OVERRIDE</w:t>
      </w:r>
      <w:r>
        <w:t>), sanctioned-strength guards, and an override path gated to Transfer Authority with mandatory justification. Bulk drives (FR-TRJ-005) with partial-failure isolation and resumable batch jobs are a credible answer to annual cadre movements at scale. Segregation of duties is asserted everywhere (initiator ≠ approver, transferee-exclusion, clearance officer ≠ transferee).</w:t>
      </w:r>
    </w:p>
    <w:p>
      <w:r>
        <w:t>The data integrity rules (§5.6) — one active order per employee, relieving/joining preconditions, date monotonicity, mutual symmetry, no-orphan clearance, SR immutability — are the kind of invariants that prevent the exact paper-process failures the Executive Summary cites. This is a confident, professional baseline. The gaps that remain are refinements on a sound architecture, not foundational rework.</w:t>
      </w:r>
    </w:p>
    <w:p>
      <w:pPr>
        <w:pStyle w:val="Heading3"/>
      </w:pPr>
      <w:r>
        <w:rPr>
          <w:b/>
          <w:color w:val="2E5B9E"/>
          <w:sz w:val="26"/>
        </w:rPr>
        <w:t>Advisor 2 — The Contrarian</w:t>
      </w:r>
    </w:p>
    <w:p>
      <w:r>
        <w:t xml:space="preserve">The headline KPI — "≥ 99% transfers with continuous pay (no break)" — is </w:t>
      </w:r>
      <w:r>
        <w:rPr>
          <w:b/>
        </w:rPr>
        <w:t>contradicted by the BRD's own pay model</w:t>
      </w:r>
      <w:r>
        <w:t xml:space="preserve">, and nobody on the author's side noticed. FR-TRJ-008 signals </w:t>
      </w:r>
      <w:r>
        <w:rPr>
          <w:b/>
        </w:rPr>
        <w:t>pay-stop at Last Working Day</w:t>
      </w:r>
      <w:r>
        <w:t xml:space="preserve">; FR-TRJ-010 signals </w:t>
      </w:r>
      <w:r>
        <w:rPr>
          <w:b/>
        </w:rPr>
        <w:t>pay-start at joining date</w:t>
      </w:r>
      <w:r>
        <w:t xml:space="preserve">. The interval between them is precisely the transit/joining-time period. So the design *guarantees* an unpaid gap equal to transit for every single transfer. In public service, </w:t>
      </w:r>
      <w:r>
        <w:rPr>
          <w:b/>
        </w:rPr>
        <w:t>joining time is paid</w:t>
      </w:r>
      <w:r>
        <w:t xml:space="preserve"> (the employee draws joining-time pay, and admissible transit is paid leave/duty). The spec stops pay at LWD and never models joining-time pay or transit-period pay continuity. This is the missed risk: the system will mechanically create the pay gap it exists to eliminate.</w:t>
      </w:r>
    </w:p>
    <w:p>
      <w:r>
        <w:rPr>
          <w:b/>
        </w:rPr>
        <w:t>In-transit ownership is undefined.</w:t>
      </w:r>
      <w:r>
        <w:t xml:space="preserve"> M01 posting is updated only on join. During </w:t>
      </w:r>
      <w:r>
        <w:rPr>
          <w:rFonts w:ascii="Consolas" w:hAnsi="Consolas"/>
          <w:sz w:val="20"/>
        </w:rPr>
        <w:t>IN_TRANSIT</w:t>
      </w:r>
      <w:r>
        <w:t xml:space="preserve"> the employee still carries the *source* </w:t>
      </w:r>
      <w:r>
        <w:rPr>
          <w:rFonts w:ascii="Consolas" w:hAnsi="Consolas"/>
          <w:sz w:val="20"/>
        </w:rPr>
        <w:t>org_unit_id</w:t>
      </w:r>
      <w:r>
        <w:t xml:space="preserve">, yet is "relieved." Which office owns them for payroll, attendance, leave, headcount, and disciplinary jurisdiction? The risk is </w:t>
      </w:r>
      <w:r>
        <w:rPr>
          <w:b/>
        </w:rPr>
        <w:t>dual posting</w:t>
      </w:r>
      <w:r>
        <w:t xml:space="preserve"> (both offices count the head, double-budgeting a sanctioned post) or </w:t>
      </w:r>
      <w:r>
        <w:rPr>
          <w:b/>
        </w:rPr>
        <w:t>zero posting</w:t>
      </w:r>
      <w:r>
        <w:t xml:space="preserve"> (neither does, employee vanishes from strength). There is no </w:t>
      </w:r>
      <w:r>
        <w:rPr>
          <w:rFonts w:ascii="Consolas" w:hAnsi="Consolas"/>
          <w:sz w:val="20"/>
        </w:rPr>
        <w:t>in_transit_custody</w:t>
      </w:r>
      <w:r>
        <w:t xml:space="preserve"> rule.</w:t>
      </w:r>
    </w:p>
    <w:p>
      <w:r>
        <w:rPr>
          <w:b/>
        </w:rPr>
        <w:t>Disputed handover is a hostage mechanism.</w:t>
      </w:r>
      <w:r>
        <w:t xml:space="preserve"> FR-TRJ-007: "Disputed handover blocks relieving until resolved" — with no Authority override, no time-bound resolution, no handover-under-protest. A vindictive successor, an unreconciled imprest, or a missing asset can trap an employee at source indefinitely, breaking the relieve-by deadline and any onward joining. The same flaw exists in clearance: one non-responsive Clearance Officer blocks </w:t>
      </w:r>
      <w:r>
        <w:rPr>
          <w:rFonts w:ascii="Consolas" w:hAnsi="Consolas"/>
          <w:sz w:val="20"/>
        </w:rPr>
        <w:t>CLEARED</w:t>
      </w:r>
      <w:r>
        <w:t xml:space="preserve"> forever; reminders exist but </w:t>
      </w:r>
      <w:r>
        <w:rPr>
          <w:b/>
        </w:rPr>
        <w:t>no deemed-clearance or escalation-grant</w:t>
      </w:r>
      <w:r>
        <w:t>.</w:t>
      </w:r>
    </w:p>
    <w:p>
      <w:r>
        <w:rPr>
          <w:b/>
        </w:rPr>
        <w:t>Non-joining / stay orders are unmodelled.</w:t>
      </w:r>
      <w:r>
        <w:t xml:space="preserve"> Govt transfers are routinely challenged — CAT/court </w:t>
      </w:r>
      <w:r>
        <w:rPr>
          <w:b/>
        </w:rPr>
        <w:t>stay orders</w:t>
      </w:r>
      <w:r>
        <w:t xml:space="preserve">, employee </w:t>
      </w:r>
      <w:r>
        <w:rPr>
          <w:b/>
        </w:rPr>
        <w:t>representations</w:t>
      </w:r>
      <w:r>
        <w:t xml:space="preserve">, retention requests. The BRD has </w:t>
      </w:r>
      <w:r>
        <w:rPr>
          <w:rFonts w:ascii="Consolas" w:hAnsi="Consolas"/>
          <w:sz w:val="20"/>
        </w:rPr>
        <w:t>LATE_JOINING_REVIEW</w:t>
      </w:r>
      <w:r>
        <w:t xml:space="preserve"> but no stay-hold state, no representation entity, no "abandonment → revert to source / disciplinary (M09)" path. An employee relieved then never joining sits in permanent </w:t>
      </w:r>
      <w:r>
        <w:rPr>
          <w:rFonts w:ascii="Consolas" w:hAnsi="Consolas"/>
          <w:sz w:val="20"/>
        </w:rPr>
        <w:t>IN_TRANSIT</w:t>
      </w:r>
      <w:r>
        <w:t xml:space="preserve"> limbo with pay stopped and no posting — the worst possible outcome, completely unhandled.</w:t>
      </w:r>
    </w:p>
    <w:p>
      <w:r>
        <w:rPr>
          <w:b/>
        </w:rPr>
        <w:t>Bulk-drive concurrency:</w:t>
      </w:r>
      <w:r>
        <w:t xml:space="preserve"> </w:t>
      </w:r>
      <w:r>
        <w:rPr>
          <w:rFonts w:ascii="Consolas" w:hAnsi="Consolas"/>
          <w:sz w:val="20"/>
        </w:rPr>
        <w:t>vacancy_positions.filled_count</w:t>
      </w:r>
      <w:r>
        <w:t>/</w:t>
      </w:r>
      <w:r>
        <w:rPr>
          <w:rFonts w:ascii="Consolas" w:hAnsi="Consolas"/>
          <w:sz w:val="20"/>
        </w:rPr>
        <w:t>vacant_count</w:t>
      </w:r>
      <w:r>
        <w:t xml:space="preserve"> never specify *when* a post becomes vacant (order? relief? join?). In a 1,000-order drive with </w:t>
      </w:r>
      <w:r>
        <w:rPr>
          <w:b/>
        </w:rPr>
        <w:t>cascading vacancies</w:t>
      </w:r>
      <w:r>
        <w:t xml:space="preserve"> (A vacates a post B is allotted to), this ambiguity causes double-allotment at join time, not just at allotment.</w:t>
      </w:r>
    </w:p>
    <w:p>
      <w:pPr>
        <w:pStyle w:val="Heading3"/>
      </w:pPr>
      <w:r>
        <w:rPr>
          <w:b/>
          <w:color w:val="2E5B9E"/>
          <w:sz w:val="26"/>
        </w:rPr>
        <w:t>Advisor 3 — The First Principles Thinker</w:t>
      </w:r>
    </w:p>
    <w:p>
      <w:r>
        <w:t xml:space="preserve">Strip the module to its irreducible truth: a transfer is </w:t>
      </w:r>
      <w:r>
        <w:rPr>
          <w:b/>
        </w:rPr>
        <w:t>the controlled transfer of accountability for a person and a post from one custodian office to another, across a gap in time.</w:t>
      </w:r>
      <w:r>
        <w:t xml:space="preserve"> Everything else — orders, clearance, handover, SR events — is machinery to make that custody transfer *auditable and reversible*. Judged against that frame, two framing assumptions are wrong.</w:t>
      </w:r>
    </w:p>
    <w:p>
      <w:r>
        <w:rPr>
          <w:b/>
        </w:rPr>
        <w:t>First, the "one active order per employee" invariant (§5.6-1) conflates the person with the post.</w:t>
      </w:r>
      <w:r>
        <w:t xml:space="preserve"> A person can legitimately hold a *substantive* posting and simultaneously hold *additional/current charge* of a second vacant post; can be on deputation (one order) and be repatriated (a second order that must co-exist during overlap); can be promotion-transferred while still relieving a prior move. The real invariant isn't "one order per person" — it's "</w:t>
      </w:r>
      <w:r>
        <w:rPr>
          <w:b/>
        </w:rPr>
        <w:t>one active *substantive* posting transition per person</w:t>
      </w:r>
      <w:r>
        <w:t>," with additional-charge and deputation as distinct, co-existable order classes. As written, the rule will block valid government realities.</w:t>
      </w:r>
    </w:p>
    <w:p>
      <w:r>
        <w:rPr>
          <w:b/>
        </w:rPr>
        <w:t>Second, the spec models pay as a binary stop/start switch.</w:t>
      </w:r>
      <w:r>
        <w:t xml:space="preserve"> First principles: pay is *continuous service with a custody handoff*, not two events. The correct primitive is a </w:t>
      </w:r>
      <w:r>
        <w:rPr>
          <w:b/>
        </w:rPr>
        <w:t>service-continuity ledger</w:t>
      </w:r>
      <w:r>
        <w:t xml:space="preserve"> where LWD and joining-date are boundary markers but the transit period is *paid duty/leave*, and the SR records </w:t>
      </w:r>
      <w:r>
        <w:rPr>
          <w:b/>
        </w:rPr>
        <w:t>no break in qualifying service</w:t>
      </w:r>
      <w:r>
        <w:t>. The current design treats the gap as dead time, which is why the pay KPI is unreachable.</w:t>
      </w:r>
    </w:p>
    <w:p>
      <w:r>
        <w:rPr>
          <w:b/>
        </w:rPr>
        <w:t>Hidden assumption: that allotment is a batch computation.</w:t>
      </w:r>
      <w:r>
        <w:t xml:space="preserve"> Real cadre transfers in government are an </w:t>
      </w:r>
      <w:r>
        <w:rPr>
          <w:b/>
        </w:rPr>
        <w:t>interactive counselling event</w:t>
      </w:r>
      <w:r>
        <w:t xml:space="preserve"> — candidates called in seniority order, choosing live from *remaining* vacancies, with on-the-spot, legally-recorded choices. The BRD's </w:t>
      </w:r>
      <w:r>
        <w:rPr>
          <w:rFonts w:ascii="Consolas" w:hAnsi="Consolas"/>
          <w:sz w:val="20"/>
        </w:rPr>
        <w:t>allotment_method = PREFERENCE/SENIORITY/MERIT</w:t>
      </w:r>
      <w:r>
        <w:t xml:space="preserve"> is an offline sort. That is a simpler *and weaker* model than reality; it cannot represent the contested, observed, real-time allotment that transfer litigation hinges on. A simpler-but-correct framing: model a </w:t>
      </w:r>
      <w:r>
        <w:rPr>
          <w:b/>
        </w:rPr>
        <w:t>counselling session</w:t>
      </w:r>
      <w:r>
        <w:t xml:space="preserve"> with a vacancy lock during each candidate's turn and an immutable choice log.</w:t>
      </w:r>
    </w:p>
    <w:p>
      <w:r>
        <w:rPr>
          <w:b/>
        </w:rPr>
        <w:t>A simplification the author missed:</w:t>
      </w:r>
      <w:r>
        <w:t xml:space="preserve"> </w:t>
      </w:r>
      <w:r>
        <w:rPr>
          <w:rFonts w:ascii="Consolas" w:hAnsi="Consolas"/>
          <w:sz w:val="20"/>
        </w:rPr>
        <w:t>vacancy_positions</w:t>
      </w:r>
      <w:r>
        <w:t xml:space="preserve"> re-stores </w:t>
      </w:r>
      <w:r>
        <w:rPr>
          <w:rFonts w:ascii="Consolas" w:hAnsi="Consolas"/>
          <w:sz w:val="20"/>
        </w:rPr>
        <w:t>sanctioned_strength</w:t>
      </w:r>
      <w:r>
        <w:t>/</w:t>
      </w:r>
      <w:r>
        <w:rPr>
          <w:rFonts w:ascii="Consolas" w:hAnsi="Consolas"/>
          <w:sz w:val="20"/>
        </w:rPr>
        <w:t>filled_count</w:t>
      </w:r>
      <w:r>
        <w:t xml:space="preserve"> — data M01/M06 already own. That is a second source of truth that *will* drift. M05 should read strength, not duplicate it.</w:t>
      </w:r>
    </w:p>
    <w:p>
      <w:pPr>
        <w:pStyle w:val="Heading3"/>
      </w:pPr>
      <w:r>
        <w:rPr>
          <w:b/>
          <w:color w:val="2E5B9E"/>
          <w:sz w:val="26"/>
        </w:rPr>
        <w:t>Advisor 4 — The Outsider</w:t>
      </w:r>
    </w:p>
    <w:p>
      <w:r>
        <w:t xml:space="preserve">I read this as someone who has never worked in an Indian government HR office, and large parts assume knowledge the BRD never gives. </w:t>
      </w:r>
      <w:r>
        <w:rPr>
          <w:b/>
        </w:rPr>
        <w:t>"LPC," "no-dues," "imprest," "DDO charge," "MCC," "cadre," "officiating," "repatriation," "forenoon/afternoon relieving"</w:t>
      </w:r>
      <w:r>
        <w:t xml:space="preserve"> — these are thrown around as if universal. A bilingual order template is promised but the *spec itself* is monolingual jargon. If a Workday-trained implementer builds this, they will mis-model half of it because the domain weight of each term is invisible.</w:t>
      </w:r>
    </w:p>
    <w:p>
      <w:r>
        <w:rPr>
          <w:b/>
        </w:rPr>
        <w:t>"Forenoon / Afternoon" relieving (`FORENOON`/`AFTERNOON`)</w:t>
      </w:r>
      <w:r>
        <w:t xml:space="preserve"> appears with no explanation of *why it matters* — it determines whether the day counts as duty at source or transit, which affects pay and seniority. That load-bearing rule is hidden in an enum.</w:t>
      </w:r>
    </w:p>
    <w:p>
      <w:r>
        <w:rPr>
          <w:b/>
        </w:rPr>
        <w:t>The enum set is confusingly redundant.</w:t>
      </w:r>
      <w:r>
        <w:t xml:space="preserve"> </w:t>
      </w:r>
      <w:r>
        <w:rPr>
          <w:rFonts w:ascii="Consolas" w:hAnsi="Consolas"/>
          <w:sz w:val="20"/>
        </w:rPr>
        <w:t>transfer_type</w:t>
      </w:r>
      <w:r>
        <w:t xml:space="preserve"> contains both </w:t>
      </w:r>
      <w:r>
        <w:rPr>
          <w:rFonts w:ascii="Consolas" w:hAnsi="Consolas"/>
          <w:sz w:val="20"/>
        </w:rPr>
        <w:t>REQUEST</w:t>
      </w:r>
      <w:r>
        <w:t xml:space="preserve"> and </w:t>
      </w:r>
      <w:r>
        <w:rPr>
          <w:rFonts w:ascii="Consolas" w:hAnsi="Consolas"/>
          <w:sz w:val="20"/>
        </w:rPr>
        <w:t>TRANSFER_ON_REQUEST</w:t>
      </w:r>
      <w:r>
        <w:t xml:space="preserve"> and </w:t>
      </w:r>
      <w:r>
        <w:rPr>
          <w:rFonts w:ascii="Consolas" w:hAnsi="Consolas"/>
          <w:sz w:val="20"/>
        </w:rPr>
        <w:t>COMPASSIONATE</w:t>
      </w:r>
      <w:r>
        <w:t xml:space="preserve">; </w:t>
      </w:r>
      <w:r>
        <w:rPr>
          <w:rFonts w:ascii="Consolas" w:hAnsi="Consolas"/>
          <w:sz w:val="20"/>
        </w:rPr>
        <w:t>ground</w:t>
      </w:r>
      <w:r>
        <w:t xml:space="preserve"> *also* contains </w:t>
      </w:r>
      <w:r>
        <w:rPr>
          <w:rFonts w:ascii="Consolas" w:hAnsi="Consolas"/>
          <w:sz w:val="20"/>
        </w:rPr>
        <w:t>REQUEST</w:t>
      </w:r>
      <w:r>
        <w:t xml:space="preserve"> and </w:t>
      </w:r>
      <w:r>
        <w:rPr>
          <w:rFonts w:ascii="Consolas" w:hAnsi="Consolas"/>
          <w:sz w:val="20"/>
        </w:rPr>
        <w:t>COMPASSIONATE</w:t>
      </w:r>
      <w:r>
        <w:t xml:space="preserve">; </w:t>
      </w:r>
      <w:r>
        <w:rPr>
          <w:rFonts w:ascii="Consolas" w:hAnsi="Consolas"/>
          <w:sz w:val="20"/>
        </w:rPr>
        <w:t>priority_category</w:t>
      </w:r>
      <w:r>
        <w:t xml:space="preserve"> overlaps again with </w:t>
      </w:r>
      <w:r>
        <w:rPr>
          <w:rFonts w:ascii="Consolas" w:hAnsi="Consolas"/>
          <w:sz w:val="20"/>
        </w:rPr>
        <w:t>PROTECTED_SPOUSE</w:t>
      </w:r>
      <w:r>
        <w:t>/</w:t>
      </w:r>
      <w:r>
        <w:rPr>
          <w:rFonts w:ascii="Consolas" w:hAnsi="Consolas"/>
          <w:sz w:val="20"/>
        </w:rPr>
        <w:t>MEDICAL</w:t>
      </w:r>
      <w:r>
        <w:t>. A reader cannot tell when something is a *type*, a *ground*, or a *priority*. This will produce inconsistent data capture across the five parallel agents.</w:t>
      </w:r>
    </w:p>
    <w:p>
      <w:r>
        <w:rPr>
          <w:b/>
        </w:rPr>
        <w:t>Complexity that isn't justified to a newcomer:</w:t>
      </w:r>
      <w:r>
        <w:t xml:space="preserve"> FR-TRJ-014 ships a geographic map with </w:t>
      </w:r>
      <w:r>
        <w:rPr>
          <w:rFonts w:ascii="Consolas" w:hAnsi="Consolas"/>
          <w:sz w:val="20"/>
        </w:rPr>
        <w:t>geo_lat/geo_lng</w:t>
      </w:r>
      <w:r>
        <w:t xml:space="preserve"> per vacancy. For a v1 whose core problem is "pay gaps and lost no-dues forms," a live vacancy *map* reads as gold-plating. Why is mapping in the baseline build while *representation against a transfer* — surely more central — is absent?</w:t>
      </w:r>
    </w:p>
    <w:p>
      <w:r>
        <w:rPr>
          <w:b/>
        </w:rPr>
        <w:t>Unstated assumptions an outsider trips on:</w:t>
      </w:r>
      <w:r>
        <w:t xml:space="preserve"> that every office has the same six clearance departments (IT, Library, Accounts, Stores, Advances, Estate) — many small offices have none of these; that a "successor" exists to receive charge (often there is none); that medical/spouse proof documents can sit in the generic M13 store (these are </w:t>
      </w:r>
      <w:r>
        <w:rPr>
          <w:b/>
        </w:rPr>
        <w:t>sensitive health/family data</w:t>
      </w:r>
      <w:r>
        <w:t xml:space="preserve"> that a privacy reviewer would ring-fence). None of this is wrong per se, but a newcomer cannot tell what is a firm rule versus an unexamined default. The BRD needs a "domain primer" box and a clarified, non-overlapping classification model before five agents build divergent interpretations of the same words.</w:t>
      </w:r>
    </w:p>
    <w:p>
      <w:pPr>
        <w:pStyle w:val="Heading3"/>
      </w:pPr>
      <w:r>
        <w:rPr>
          <w:b/>
          <w:color w:val="2E5B9E"/>
          <w:sz w:val="26"/>
        </w:rPr>
        <w:t>Advisor 5 — The Executor</w:t>
      </w:r>
    </w:p>
    <w:p>
      <w:r>
        <w:t xml:space="preserve">Feasibility is good; sequencing is mostly right (§14.2 puts eligibility and SR-outbox before orders, which is correct). But several </w:t>
      </w:r>
      <w:r>
        <w:rPr>
          <w:b/>
        </w:rPr>
        <w:t>Monday-morning blockers</w:t>
      </w:r>
      <w:r>
        <w:t xml:space="preserve"> are buried.</w:t>
      </w:r>
    </w:p>
    <w:p>
      <w:r>
        <w:rPr>
          <w:b/>
        </w:rPr>
        <w:t>Dependency truth:</w:t>
      </w:r>
      <w:r>
        <w:t xml:space="preserve"> M05 cannot pay-continue or compute joining time without </w:t>
      </w:r>
      <w:r>
        <w:rPr>
          <w:b/>
        </w:rPr>
        <w:t>M10 entitlement rules</w:t>
      </w:r>
      <w:r>
        <w:t xml:space="preserve"> (TTA/transfer grant/joining-time-pay differ for own-request vs admin transfers) and without a </w:t>
      </w:r>
      <w:r>
        <w:rPr>
          <w:b/>
        </w:rPr>
        <w:t>holiday/working-day calendar service</w:t>
      </w:r>
      <w:r>
        <w:t xml:space="preserve"> (FR-TRJ-009 assumes one; §FR-009 failure-handling silently defaults to "Sat/Sun + national holidays," which will be *wrong* for regional calendars and produce disputed transit math). Neither dependency has a contract. These are hard external blockers, not internal work.</w:t>
      </w:r>
    </w:p>
    <w:p>
      <w:r>
        <w:rPr>
          <w:b/>
        </w:rPr>
        <w:t>The outbox is underspecified for build.</w:t>
      </w:r>
      <w:r>
        <w:t xml:space="preserve"> §16.3 and FR-TRJ-012 describe the pattern but there is </w:t>
      </w:r>
      <w:r>
        <w:rPr>
          <w:b/>
        </w:rPr>
        <w:t>no `outbox` table field spec</w:t>
      </w:r>
      <w:r>
        <w:t xml:space="preserve"> in §5.2 (it's named in data-model references but never defined), no dead-letter retention, no idempotency-key formula. Five parallel agents (B, C, D, E) all depend on "the SR outbox client" as a frozen contract — yet it isn't actually written down to the field level. That is the single highest-risk integration gap for parallel delivery.</w:t>
      </w:r>
    </w:p>
    <w:p>
      <w:r>
        <w:rPr>
          <w:b/>
        </w:rPr>
        <w:t>Sequencing problem in the parallel-agent plan (§14.3):</w:t>
      </w:r>
      <w:r>
        <w:t xml:space="preserve"> Agent C (Relieving) and Agent D (Transit &amp; Joining) both write </w:t>
      </w:r>
      <w:r>
        <w:rPr>
          <w:rFonts w:ascii="Consolas" w:hAnsi="Consolas"/>
          <w:sz w:val="20"/>
        </w:rPr>
        <w:t>transfer_orders.status</w:t>
      </w:r>
      <w:r>
        <w:t xml:space="preserve"> and both call M10. Without a single owner of the </w:t>
      </w:r>
      <w:r>
        <w:rPr>
          <w:rFonts w:ascii="Consolas" w:hAnsi="Consolas"/>
          <w:sz w:val="20"/>
        </w:rPr>
        <w:t>transfer_orders</w:t>
      </w:r>
      <w:r>
        <w:t xml:space="preserve"> state-transition service, you get merge conflicts and contradictory guards. Recommend a shared </w:t>
      </w:r>
      <w:r>
        <w:rPr>
          <w:rFonts w:ascii="Consolas" w:hAnsi="Consolas"/>
          <w:sz w:val="20"/>
        </w:rPr>
        <w:t>TransferOrderStateService</w:t>
      </w:r>
      <w:r>
        <w:t xml:space="preserve"> owned by one agent and consumed by others.</w:t>
      </w:r>
    </w:p>
    <w:p>
      <w:r>
        <w:rPr>
          <w:b/>
        </w:rPr>
        <w:t>Concrete Monday step:</w:t>
      </w:r>
      <w:r>
        <w:t xml:space="preserve"> freeze three contracts *first* — (1) the </w:t>
      </w:r>
      <w:r>
        <w:rPr>
          <w:rFonts w:ascii="Consolas" w:hAnsi="Consolas"/>
          <w:sz w:val="20"/>
        </w:rPr>
        <w:t>outbox</w:t>
      </w:r>
      <w:r>
        <w:t xml:space="preserve"> table + idempotency-key spec, (2) the M10 signal contract including </w:t>
      </w:r>
      <w:r>
        <w:rPr>
          <w:b/>
        </w:rPr>
        <w:t>pay-continuity/joining-time-pay and entitlement-by-transfer-type</w:t>
      </w:r>
      <w:r>
        <w:t>, not just stop/start, and (3) the working-day calendar service interface. Until those three exist, FR-008/009/010/012 cannot be built without rework.</w:t>
      </w:r>
    </w:p>
    <w:p>
      <w:r>
        <w:rPr>
          <w:b/>
        </w:rPr>
        <w:t>Testability:</w:t>
      </w:r>
      <w:r>
        <w:t xml:space="preserve"> the "0% ban/tenure violation at issue" KPI is testable, but the override path means the real metric is "0% *un-overridden* violations" — the acceptance test must assert the override audit trail, or QA will mark valid overrides as failures. Bulk-drive perf (1,000 orders &lt; 30 min) is testable; partial-failure quarantine is testable. Good. But there is </w:t>
      </w:r>
      <w:r>
        <w:rPr>
          <w:b/>
        </w:rPr>
        <w:t>no acceptance test for the pay-gap KPI</w:t>
      </w:r>
      <w:r>
        <w:t xml:space="preserve"> because the pay model that would satisfy it doesn't exist yet.</w:t>
      </w:r>
    </w:p>
    <w:p>
      <w:pPr>
        <w:pStyle w:val="Heading2"/>
      </w:pPr>
      <w:r>
        <w:rPr>
          <w:b/>
          <w:color w:val="1F3864"/>
          <w:sz w:val="30"/>
        </w:rPr>
        <w:t>Part 2 — Anonymous Peer Review</w:t>
      </w:r>
    </w:p>
    <w:p>
      <w:r>
        <w:t>*(Advisors anonymised A–E; A=Proponent, B=Contrarian, C=First Principles, D=Outsider, E=Executor)*</w:t>
      </w:r>
    </w:p>
    <w:p>
      <w:r>
        <w:rPr>
          <w:b/>
        </w:rPr>
        <w:t>Reviewer 1</w:t>
      </w:r>
    </w:p>
    <w:p>
      <w:pPr>
        <w:pStyle w:val="ListNumber"/>
      </w:pPr>
      <w:r>
        <w:t>*Strongest:* B — the pay-stop-at-LWD vs pay-start-at-join contradiction is a real, falsifying defect against a stated KPI, not a style note. It would survive UAT and surface as live underpayment.</w:t>
      </w:r>
    </w:p>
    <w:p>
      <w:pPr>
        <w:pStyle w:val="ListNumber"/>
      </w:pPr>
      <w:r>
        <w:t>*Biggest blind spot:* A treats the "0 gaps" reconciliation table as evidence of completeness when it only proves *structural* completeness (sections present), not *semantic* correctness — A never tested an invariant against a real scenario.</w:t>
      </w:r>
    </w:p>
    <w:p>
      <w:pPr>
        <w:pStyle w:val="ListNumber"/>
      </w:pPr>
      <w:r>
        <w:t xml:space="preserve">*All five missed:* none addresses </w:t>
      </w:r>
      <w:r>
        <w:rPr>
          <w:b/>
        </w:rPr>
        <w:t>inter-se seniority assignment on joining</w:t>
      </w:r>
      <w:r>
        <w:t xml:space="preserve"> when several transferees join the same cadre/post — joining-date order sets seniority (M06 consumes it), and the spec gives no tie-break or joining-sequence integrity, which is a frequent litigation trigger.</w:t>
      </w:r>
    </w:p>
    <w:p>
      <w:r>
        <w:rPr>
          <w:b/>
        </w:rPr>
        <w:t>Reviewer 2</w:t>
      </w:r>
    </w:p>
    <w:p>
      <w:pPr>
        <w:pStyle w:val="ListNumber"/>
      </w:pPr>
      <w:r>
        <w:t>*Strongest:* C — reframing "one active order per employee" as "one substantive transition" dissolves a constraint that would otherwise block additional-charge and deputation overlap, which are everyday government cases.</w:t>
      </w:r>
    </w:p>
    <w:p>
      <w:pPr>
        <w:pStyle w:val="ListNumber"/>
      </w:pPr>
      <w:r>
        <w:t>*Biggest blind spot:* E is contract-obsessed and under-weights the *human* process — E never flags that interactive counselling (C's point) breaks E's tidy batch sequencing.</w:t>
      </w:r>
    </w:p>
    <w:p>
      <w:pPr>
        <w:pStyle w:val="ListNumber"/>
      </w:pPr>
      <w:r>
        <w:t xml:space="preserve">*All five missed:* </w:t>
      </w:r>
      <w:r>
        <w:rPr>
          <w:b/>
        </w:rPr>
        <w:t>proof-of-service / acknowledgement of the transfer order.</w:t>
      </w:r>
      <w:r>
        <w:t xml:space="preserve"> "Relieve-by" deadlines and non-compliance discipline depend on when the order was *served on and acknowledged by* the employee — there is no served-date or acknowledgement entity anywhere.</w:t>
      </w:r>
    </w:p>
    <w:p>
      <w:r>
        <w:rPr>
          <w:b/>
        </w:rPr>
        <w:t>Reviewer 3</w:t>
      </w:r>
    </w:p>
    <w:p>
      <w:pPr>
        <w:pStyle w:val="ListNumber"/>
      </w:pPr>
      <w:r>
        <w:t>*Strongest:* B again — in-transit ownership (dual/zero posting) is the kind of defect that corrupts headcount and budget reports silently for years.</w:t>
      </w:r>
    </w:p>
    <w:p>
      <w:pPr>
        <w:pStyle w:val="ListNumber"/>
      </w:pPr>
      <w:r>
        <w:t>*Biggest blind spot:* D dismisses the vacancy map as gold-plating but doesn't notice the deeper duplication C caught (sanctioned-strength dual source of truth) — D critiques surface complexity, C critiques structural complexity.</w:t>
      </w:r>
    </w:p>
    <w:p>
      <w:pPr>
        <w:pStyle w:val="ListNumber"/>
      </w:pPr>
      <w:r>
        <w:t xml:space="preserve">*All five missed:* </w:t>
      </w:r>
      <w:r>
        <w:rPr>
          <w:b/>
        </w:rPr>
        <w:t>government quarters/estate</w:t>
      </w:r>
      <w:r>
        <w:t xml:space="preserve"> beyond a single clearance tick — retention of official accommodation post-transfer, vacation timelines, and licence-fee recovery are statutory and money-bearing; the BRD reduces them to one </w:t>
      </w:r>
      <w:r>
        <w:rPr>
          <w:rFonts w:ascii="Consolas" w:hAnsi="Consolas"/>
          <w:sz w:val="20"/>
        </w:rPr>
        <w:t>ESTATE_QUARTERS</w:t>
      </w:r>
      <w:r>
        <w:t xml:space="preserve"> checklist line.</w:t>
      </w:r>
    </w:p>
    <w:p>
      <w:r>
        <w:rPr>
          <w:b/>
        </w:rPr>
        <w:t>Reviewer 4</w:t>
      </w:r>
    </w:p>
    <w:p>
      <w:pPr>
        <w:pStyle w:val="ListNumber"/>
      </w:pPr>
      <w:r>
        <w:t>*Strongest:* E — the observation that the outbox is referenced as a frozen contract but never field-specified is the highest *delivery* risk for a five-agent parallel build.</w:t>
      </w:r>
    </w:p>
    <w:p>
      <w:pPr>
        <w:pStyle w:val="ListNumber"/>
      </w:pPr>
      <w:r>
        <w:t>*Biggest blind spot:* A's optimism: the integration discipline A praises is real at the *naming* level but, as E shows, not at the *field* level — A mistook a table of references for a contract.</w:t>
      </w:r>
    </w:p>
    <w:p>
      <w:pPr>
        <w:pStyle w:val="ListNumber"/>
      </w:pPr>
      <w:r>
        <w:t xml:space="preserve">*All five missed:* </w:t>
      </w:r>
      <w:r>
        <w:rPr>
          <w:b/>
        </w:rPr>
        <w:t>idempotency and gapless statutory numbering under failure.</w:t>
      </w:r>
      <w:r>
        <w:t xml:space="preserve"> Govt order numbers must often be gapless per office per year; "retry sequence on collision" can leave gaps or duplicates across retries — a compliance defect none of the five fully pinned down.</w:t>
      </w:r>
    </w:p>
    <w:p>
      <w:r>
        <w:rPr>
          <w:b/>
        </w:rPr>
        <w:t>Reviewer 5</w:t>
      </w:r>
    </w:p>
    <w:p>
      <w:pPr>
        <w:pStyle w:val="ListNumber"/>
      </w:pPr>
      <w:r>
        <w:t>*Strongest:* C's counselling-session reframing — it is the difference between a system that *records* allotments and one that can *defend* them in a tribunal.</w:t>
      </w:r>
    </w:p>
    <w:p>
      <w:pPr>
        <w:pStyle w:val="ListNumber"/>
      </w:pPr>
      <w:r>
        <w:t>*Biggest blind spot:* B lists many failure modes but offers no single mechanism that resolves several at once (a forced-relief/deemed-action Authority power would close disputed-handover, non-responsive-clearance, and source-refuses-to-relieve together).</w:t>
      </w:r>
    </w:p>
    <w:p>
      <w:pPr>
        <w:pStyle w:val="ListNumber"/>
      </w:pPr>
      <w:r>
        <w:t xml:space="preserve">*All five missed:* </w:t>
      </w:r>
      <w:r>
        <w:rPr>
          <w:b/>
        </w:rPr>
        <w:t>mutual-transfer coupling beyond approval.</w:t>
      </w:r>
      <w:r>
        <w:t xml:space="preserve"> §5.6-5 makes mutual *approval* atomic, but relieving and joining are not coupled — if one half clears and the other's clearance stalls, you get an asymmetric exchange (one post double-filled, one double-vacant). No advisor caught the post-approval mutual coupling gap.</w:t>
      </w:r>
    </w:p>
    <w:p>
      <w:pPr>
        <w:pStyle w:val="Heading2"/>
      </w:pPr>
      <w:r>
        <w:rPr>
          <w:b/>
          <w:color w:val="1F3864"/>
          <w:sz w:val="30"/>
        </w:rPr>
        <w:t>Part 3 — Chairman Synthesis</w:t>
      </w:r>
    </w:p>
    <w:p>
      <w:pPr>
        <w:pStyle w:val="Heading3"/>
      </w:pPr>
      <w:r>
        <w:rPr>
          <w:b/>
          <w:color w:val="2E5B9E"/>
          <w:sz w:val="26"/>
        </w:rPr>
        <w:t>Agreements (high consensus)</w:t>
      </w:r>
    </w:p>
    <w:p>
      <w:pPr>
        <w:pStyle w:val="ListBullet"/>
      </w:pPr>
      <w:r>
        <w:t xml:space="preserve">The BRD is a </w:t>
      </w:r>
      <w:r>
        <w:rPr>
          <w:b/>
        </w:rPr>
        <w:t>strong, professional, build-ready baseline</w:t>
      </w:r>
      <w:r>
        <w:t xml:space="preserve"> with excellent integration framing, a coherent lifecycle state machine, and real statutory texture. (All five.)</w:t>
      </w:r>
    </w:p>
    <w:p>
      <w:pPr>
        <w:pStyle w:val="ListBullet"/>
      </w:pPr>
      <w:r>
        <w:rPr>
          <w:b/>
        </w:rPr>
        <w:t>Pay continuity is broken by design</w:t>
      </w:r>
      <w:r>
        <w:t xml:space="preserve"> — pay-stop at LWD / pay-start at join guarantees the gap the KPI forbids. (B, C, E; endorsed by all reviewers.)</w:t>
      </w:r>
    </w:p>
    <w:p>
      <w:pPr>
        <w:pStyle w:val="ListBullet"/>
      </w:pPr>
      <w:r>
        <w:rPr>
          <w:b/>
        </w:rPr>
        <w:t>Disputed handover and non-responsive clearance are unbounded blockers</w:t>
      </w:r>
      <w:r>
        <w:t xml:space="preserve"> needing an Authority forced-action / deemed mechanism. (B, with R5 generalising it.)</w:t>
      </w:r>
    </w:p>
    <w:p>
      <w:pPr>
        <w:pStyle w:val="ListBullet"/>
      </w:pPr>
      <w:r>
        <w:rPr>
          <w:b/>
        </w:rPr>
        <w:t>The SR outbox is a named-but-unspecified contract</w:t>
      </w:r>
      <w:r>
        <w:t xml:space="preserve"> — the top parallel-delivery risk. (E, R4.)</w:t>
      </w:r>
    </w:p>
    <w:p>
      <w:pPr>
        <w:pStyle w:val="Heading3"/>
      </w:pPr>
      <w:r>
        <w:rPr>
          <w:b/>
          <w:color w:val="2E5B9E"/>
          <w:sz w:val="26"/>
        </w:rPr>
        <w:t>Clashes</w:t>
      </w:r>
    </w:p>
    <w:p>
      <w:pPr>
        <w:pStyle w:val="ListBullet"/>
      </w:pPr>
      <w:r>
        <w:rPr>
          <w:b/>
        </w:rPr>
        <w:t>D vs C on complexity:</w:t>
      </w:r>
      <w:r>
        <w:t xml:space="preserve"> D calls the vacancy map gold-plating; C says the real over-engineering is the duplicated sanctioned-strength store. *Resolution:* both are right but different — defer the map's priority, and fix the strength duplication regardless. Not fundamental.</w:t>
      </w:r>
    </w:p>
    <w:p>
      <w:pPr>
        <w:pStyle w:val="ListBullet"/>
      </w:pPr>
      <w:r>
        <w:rPr>
          <w:b/>
        </w:rPr>
        <w:t>E vs C on counselling (FUNDAMENTAL):</w:t>
      </w:r>
      <w:r>
        <w:t xml:space="preserve"> E's clean batch sequencing assumes offline allotment; C says real counselling is an interactive, contested event. This is a genuine architectural fork — see focused second pass.</w:t>
      </w:r>
    </w:p>
    <w:p>
      <w:pPr>
        <w:pStyle w:val="Heading3"/>
      </w:pPr>
      <w:r>
        <w:rPr>
          <w:b/>
          <w:color w:val="2E5B9E"/>
          <w:sz w:val="26"/>
        </w:rPr>
        <w:t>Blind spots the whole council shares (surfaced in peer review)</w:t>
      </w:r>
    </w:p>
    <w:p>
      <w:pPr>
        <w:pStyle w:val="ListBullet"/>
      </w:pPr>
      <w:r>
        <w:t xml:space="preserve">Inter-se </w:t>
      </w:r>
      <w:r>
        <w:rPr>
          <w:b/>
        </w:rPr>
        <w:t>seniority on joining-date order</w:t>
      </w:r>
      <w:r>
        <w:t xml:space="preserve"> (R1).</w:t>
      </w:r>
    </w:p>
    <w:p>
      <w:pPr>
        <w:pStyle w:val="ListBullet"/>
      </w:pPr>
      <w:r>
        <w:rPr>
          <w:b/>
        </w:rPr>
        <w:t>Proof-of-service / acknowledgement</w:t>
      </w:r>
      <w:r>
        <w:t xml:space="preserve"> of the transfer order (R2).</w:t>
      </w:r>
    </w:p>
    <w:p>
      <w:pPr>
        <w:pStyle w:val="ListBullet"/>
      </w:pPr>
      <w:r>
        <w:rPr>
          <w:b/>
        </w:rPr>
        <w:t>Government quarters/estate</w:t>
      </w:r>
      <w:r>
        <w:t xml:space="preserve"> as a money-bearing sub-process, not one checklist tick (R3).</w:t>
      </w:r>
    </w:p>
    <w:p>
      <w:pPr>
        <w:pStyle w:val="ListBullet"/>
      </w:pPr>
      <w:r>
        <w:rPr>
          <w:b/>
        </w:rPr>
        <w:t>Gapless statutory order numbering</w:t>
      </w:r>
      <w:r>
        <w:t xml:space="preserve"> under retry/failure (R4).</w:t>
      </w:r>
    </w:p>
    <w:p>
      <w:pPr>
        <w:pStyle w:val="ListBullet"/>
      </w:pPr>
      <w:r>
        <w:rPr>
          <w:b/>
        </w:rPr>
        <w:t>Mutual-transfer coupling</w:t>
      </w:r>
      <w:r>
        <w:t xml:space="preserve"> at relieve/join, not just approval (R5).</w:t>
      </w:r>
    </w:p>
    <w:p>
      <w:pPr>
        <w:pStyle w:val="Heading3"/>
      </w:pPr>
      <w:r>
        <w:rPr>
          <w:b/>
          <w:color w:val="2E5B9E"/>
          <w:sz w:val="26"/>
        </w:rPr>
        <w:t>Idea Evolution</w:t>
      </w:r>
    </w:p>
    <w:p>
      <w:r>
        <w:t xml:space="preserve">The proposal evolves from "a clean transfer-lifecycle recorder" to "a </w:t>
      </w:r>
      <w:r>
        <w:rPr>
          <w:b/>
        </w:rPr>
        <w:t>custody-and-continuity engine</w:t>
      </w:r>
      <w:r>
        <w:t xml:space="preserve">": (1) pay/service modelled as *continuous with a custody handoff* rather than stop/start; (2) an explicit </w:t>
      </w:r>
      <w:r>
        <w:rPr>
          <w:b/>
        </w:rPr>
        <w:t>in-transit custody owner</w:t>
      </w:r>
      <w:r>
        <w:t xml:space="preserve">; (3) an </w:t>
      </w:r>
      <w:r>
        <w:rPr>
          <w:b/>
        </w:rPr>
        <w:t>Authority forced-action power</w:t>
      </w:r>
      <w:r>
        <w:t xml:space="preserve"> (deemed-relief, deemed-clearance, handover-under-protest) that unblocks the human-conflict failure modes as one mechanism; (4) a </w:t>
      </w:r>
      <w:r>
        <w:rPr>
          <w:b/>
        </w:rPr>
        <w:t>representation/stay-order hold</w:t>
      </w:r>
      <w:r>
        <w:t xml:space="preserve"> state reflecting government reality; (5) counselling modelled as an </w:t>
      </w:r>
      <w:r>
        <w:rPr>
          <w:b/>
        </w:rPr>
        <w:t>interactive session</w:t>
      </w:r>
      <w:r>
        <w:t xml:space="preserve"> for contestable allotment. These five shifts convert a structurally-complete BRD into a statutorily-defensible one.</w:t>
      </w:r>
    </w:p>
    <w:p>
      <w:pPr>
        <w:pStyle w:val="Heading3"/>
      </w:pPr>
      <w:r>
        <w:rPr>
          <w:b/>
          <w:color w:val="2E5B9E"/>
          <w:sz w:val="26"/>
        </w:rPr>
        <w:t>Focused Second Pass — the one FUNDAMENTAL clash (batch vs interactive counselling)</w:t>
      </w:r>
    </w:p>
    <w:p>
      <w:r>
        <w:t xml:space="preserve">E's concern (sequencing/feasibility) and C's concern (legal defensibility) are reconcilable. Resolution: </w:t>
      </w:r>
      <w:r>
        <w:rPr>
          <w:b/>
        </w:rPr>
        <w:t>keep the batch `allotment_method` for SENIORITY/MERIT/MANUAL drives</w:t>
      </w:r>
      <w:r>
        <w:t xml:space="preserve"> (e.g., ministerial cadres allotted purely by seniority — no live event needed), and </w:t>
      </w:r>
      <w:r>
        <w:rPr>
          <w:b/>
        </w:rPr>
        <w:t>add an optional `COUNSELLING` session model</w:t>
      </w:r>
      <w:r>
        <w:t xml:space="preserve"> (already hinted by </w:t>
      </w:r>
      <w:r>
        <w:rPr>
          <w:rFonts w:ascii="Consolas" w:hAnsi="Consolas"/>
          <w:sz w:val="20"/>
        </w:rPr>
        <w:t>drive_type = COUNSELLING</w:t>
      </w:r>
      <w:r>
        <w:t xml:space="preserve"> and </w:t>
      </w:r>
      <w:r>
        <w:rPr>
          <w:rFonts w:ascii="Consolas" w:hAnsi="Consolas"/>
          <w:sz w:val="20"/>
        </w:rPr>
        <w:t>drive.status = COUNSELLING</w:t>
      </w:r>
      <w:r>
        <w:t xml:space="preserve">) for cadres that require live, observed allotment. A </w:t>
      </w:r>
      <w:r>
        <w:rPr>
          <w:rFonts w:ascii="Consolas" w:hAnsi="Consolas"/>
          <w:sz w:val="20"/>
        </w:rPr>
        <w:t>counselling_sessions</w:t>
      </w:r>
      <w:r>
        <w:t xml:space="preserve"> entity with per-candidate turn order, a vacancy lock during a candidate's turn, and an immutable choice log gives C's defensibility *without* destroying E's batch path for the cases that don't need it. The two models coexist, selected by </w:t>
      </w:r>
      <w:r>
        <w:rPr>
          <w:rFonts w:ascii="Consolas" w:hAnsi="Consolas"/>
          <w:sz w:val="20"/>
        </w:rPr>
        <w:t>drive_type</w:t>
      </w:r>
      <w:r>
        <w:t>. This is additive, not a rewrite.</w:t>
      </w:r>
    </w:p>
    <w:p>
      <w:pPr>
        <w:pStyle w:val="Heading3"/>
      </w:pPr>
      <w:r>
        <w:rPr>
          <w:b/>
          <w:color w:val="2E5B9E"/>
          <w:sz w:val="26"/>
        </w:rPr>
        <w:t>Risk Register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#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Risk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Severity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Source Advisor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Mitigation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Pay-stop at LWD / pay-start at join guarantees an unpaid transit gap, contradicting the ≥99% no-gap KPI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Critical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 / C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Model joining-time pay &amp; paid transit; signal M10 for *continuity* + entitlement, not bare stop/start; SR records "no break in service"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In-transit employee has undefined org/payroll/headcount ownership (dual or zero posting)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Critical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 xml:space="preserve">Add explicit </w:t>
            </w:r>
            <w:r>
              <w:rPr>
                <w:rFonts w:ascii="Consolas" w:hAnsi="Consolas"/>
                <w:sz w:val="18"/>
              </w:rPr>
              <w:t>in_transit_custody</w:t>
            </w:r>
            <w:r>
              <w:rPr>
                <w:sz w:val="18"/>
              </w:rPr>
              <w:t xml:space="preserve"> rule + field; define which office owns pay/attendance/headcount during </w:t>
            </w:r>
            <w:r>
              <w:rPr>
                <w:rFonts w:ascii="Consolas" w:hAnsi="Consolas"/>
                <w:sz w:val="18"/>
              </w:rPr>
              <w:t>IN_TRANSIT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Disputed handover / non-responsive clearance can block relieving indefinitely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 / R5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Authority forced-action: deemed-clearance after SLA+escalation, handover-under-protest, time-bound dispute resolution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Non-joining / abandonment / court stay unmodelled — permanent IN_TRANSIT limbo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 xml:space="preserve">Add </w:t>
            </w:r>
            <w:r>
              <w:rPr>
                <w:rFonts w:ascii="Consolas" w:hAnsi="Consolas"/>
                <w:sz w:val="18"/>
              </w:rPr>
              <w:t>STAY_HOLD</w:t>
            </w:r>
            <w:r>
              <w:rPr>
                <w:sz w:val="18"/>
              </w:rPr>
              <w:t xml:space="preserve"> + representation entity; abandonment path → revert-to-source / M09 disciplinary linkage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 xml:space="preserve">SR </w:t>
            </w:r>
            <w:r>
              <w:rPr>
                <w:rFonts w:ascii="Consolas" w:hAnsi="Consolas"/>
                <w:sz w:val="18"/>
              </w:rPr>
              <w:t>outbox</w:t>
            </w:r>
            <w:r>
              <w:rPr>
                <w:sz w:val="18"/>
              </w:rPr>
              <w:t xml:space="preserve"> referenced as frozen contract but never field-specified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 / R4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 xml:space="preserve">Define </w:t>
            </w:r>
            <w:r>
              <w:rPr>
                <w:rFonts w:ascii="Consolas" w:hAnsi="Consolas"/>
                <w:sz w:val="18"/>
              </w:rPr>
              <w:t>outbox</w:t>
            </w:r>
            <w:r>
              <w:rPr>
                <w:sz w:val="18"/>
              </w:rPr>
              <w:t xml:space="preserve"> table fields, idempotency-key formula, dead-letter retention before parallel build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Cascading-vacancy double-allotment: when a post becomes "vacant" is undefined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Define vacancy state transition (vacant on relief, filled on join); transactional re-check at join, not only allotment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vacancy_positions</w:t>
            </w:r>
            <w:r>
              <w:rPr>
                <w:sz w:val="18"/>
              </w:rPr>
              <w:t xml:space="preserve"> duplicates M01/M06 sanctioned strength → drift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 / R3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Make strength read-through from M01/M06 with reconciliation; M05 stores only drive-scoped reservation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"One active order per employee" blocks valid additional-charge / deputation overlap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Reframe to "one active *substantive* transition"; allow co-existing additional-charge &amp; deputation order classes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 M10 entitlement contract (TTA/transfer-grant/joining-time differ by transfer_type)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Add entitlement signal keyed on transfer_type &amp; ground; own-request vs admin distinction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Working-day/holiday calendar dependency uncontracted; silent wrong default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Define calendar service contract incl. regional calendars; remove silent Sat/Sun fallback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Inter-se seniority on joining-date order has no tie-break / sequence integrity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Capture joining sequence + deterministic tie-break; expose to M06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 proof-of-service / acknowledgement of transfer order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Add served-on-date + acknowledgement entity; basis for relieve-by enforcement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13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Gapless statutory order numbering not guaranteed under retry/failure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Reserve-then-commit numbering with gap audit; per-office/per-year sequence policy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14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Mutual transfer coupled only at approval, not relieve/join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Couple mutual pair through relieving &amp; joining; block asymmetric completion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Sensitive medical/spouse/compassionate docs in generic M13 store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Ring-fence sensitive-ground documents with restricted access class (DPDP sensitive category)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16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Government quarters/estate reduced to one checklist tick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Low/Med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Model quarter retention/vacation timeline + licence-fee recovery signal to M10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17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Enum redundancy (REQUEST vs TRANSFER_ON_REQUEST; type/ground/priority overlap)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Low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 / R-consensus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Collapse/clarify into orthogonal classification; one canonical taxonomy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18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Vacancy map (FR-014) prioritised over more central representation flow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Low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Re-prioritise: map is enhancement; representation is baseline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Recommendation</w:t>
      </w:r>
    </w:p>
    <w:p>
      <w:r>
        <w:rPr>
          <w:b/>
        </w:rPr>
        <w:t>Adopt with mandatory revisions before build-freeze.</w:t>
      </w:r>
      <w:r>
        <w:t xml:space="preserve"> The BRD is structurally world-class but has </w:t>
      </w:r>
      <w:r>
        <w:rPr>
          <w:b/>
        </w:rPr>
        <w:t>two Critical defects (pay continuity, in-transit custody)</w:t>
      </w:r>
      <w:r>
        <w:t xml:space="preserve"> that would cause live underpayment and corrupted headcount, plus </w:t>
      </w:r>
      <w:r>
        <w:rPr>
          <w:b/>
        </w:rPr>
        <w:t>one Critical delivery risk (unspecified outbox)</w:t>
      </w:r>
      <w:r>
        <w:t xml:space="preserve"> that blocks the five-agent parallel plan. None require a rewrite — all are additive entities, fields, states, and contracts on a sound spine. Fix risks 1–6 before freezing contracts; fix 7–14 in BRD v2; schedule 15–18.</w:t>
      </w:r>
    </w:p>
    <w:p>
      <w:pPr>
        <w:pStyle w:val="Heading3"/>
      </w:pPr>
      <w:r>
        <w:rPr>
          <w:b/>
          <w:color w:val="2E5B9E"/>
          <w:sz w:val="26"/>
        </w:rPr>
        <w:t>The One Thing To Do First</w:t>
      </w:r>
    </w:p>
    <w:p>
      <w:r>
        <w:rPr>
          <w:b/>
        </w:rPr>
        <w:t>Replace the binary pay-stop/pay-start model with a service-continuity + joining-time-pay model, and define the in-transit custody owner in the same stroke.</w:t>
      </w:r>
      <w:r>
        <w:t xml:space="preserve"> These two are the same root defect — the BRD treats transit as dead time owned by no one. Fixing it makes the no-gap KPI achievable, fixes headcount/budget integrity, and forces the M10 entitlement contract (risk 9) and SR "no break in service" assertion to be written. Everything else is refinement on top.</w:t>
      </w:r>
    </w:p>
    <w:p>
      <w:pPr>
        <w:pStyle w:val="Heading2"/>
      </w:pPr>
      <w:r>
        <w:rPr>
          <w:b/>
          <w:color w:val="1F3864"/>
          <w:sz w:val="30"/>
        </w:rPr>
        <w:t>Adopted Improvements for BRD v2</w:t>
      </w:r>
    </w:p>
    <w:p>
      <w:pPr>
        <w:pStyle w:val="ListNumber"/>
      </w:pPr>
      <w:r>
        <w:rPr>
          <w:b/>
        </w:rPr>
        <w:t>Replace pay-stop/pay-start with a service-continuity model.</w:t>
      </w:r>
      <w:r>
        <w:t xml:space="preserve"> Model the transit/joining-time period as *paid duty/leave*; signal M10 for pay *continuity* across the handoff rather than a stop at LWD and a start at join. Add a </w:t>
      </w:r>
      <w:r>
        <w:rPr>
          <w:rFonts w:ascii="Consolas" w:hAnsi="Consolas"/>
          <w:sz w:val="20"/>
        </w:rPr>
        <w:t>joining_time_pay_admissible</w:t>
      </w:r>
      <w:r>
        <w:t xml:space="preserve"> rule and ensure the SR </w:t>
      </w:r>
      <w:r>
        <w:rPr>
          <w:rFonts w:ascii="Consolas" w:hAnsi="Consolas"/>
          <w:sz w:val="20"/>
        </w:rPr>
        <w:t>JOINED</w:t>
      </w:r>
      <w:r>
        <w:t>/</w:t>
      </w:r>
      <w:r>
        <w:rPr>
          <w:rFonts w:ascii="Consolas" w:hAnsi="Consolas"/>
          <w:sz w:val="20"/>
        </w:rPr>
        <w:t>RELIEVED</w:t>
      </w:r>
      <w:r>
        <w:t xml:space="preserve"> events assert </w:t>
      </w:r>
      <w:r>
        <w:rPr>
          <w:b/>
        </w:rPr>
        <w:t>no break in qualifying service</w:t>
      </w:r>
      <w:r>
        <w:t>. (Risk 1)</w:t>
      </w:r>
    </w:p>
    <w:p>
      <w:pPr>
        <w:pStyle w:val="ListNumber"/>
      </w:pPr>
      <w:r>
        <w:rPr>
          <w:b/>
        </w:rPr>
        <w:t>Add an explicit in-transit custody rule and field.</w:t>
      </w:r>
      <w:r>
        <w:t xml:space="preserve"> New </w:t>
      </w:r>
      <w:r>
        <w:rPr>
          <w:rFonts w:ascii="Consolas" w:hAnsi="Consolas"/>
          <w:sz w:val="20"/>
        </w:rPr>
        <w:t>transfer_orders.in_transit_custody_org_unit_id</w:t>
      </w:r>
      <w:r>
        <w:t xml:space="preserve"> (or equivalent) defining which office owns the employee for payroll, attendance, leave, headcount, and disciplinary jurisdiction during </w:t>
      </w:r>
      <w:r>
        <w:rPr>
          <w:rFonts w:ascii="Consolas" w:hAnsi="Consolas"/>
          <w:sz w:val="20"/>
        </w:rPr>
        <w:t>IN_TRANSIT</w:t>
      </w:r>
      <w:r>
        <w:t>; add an integrity rule preventing dual or zero posting. (Risk 2)</w:t>
      </w:r>
    </w:p>
    <w:p>
      <w:pPr>
        <w:pStyle w:val="ListNumber"/>
      </w:pPr>
      <w:r>
        <w:rPr>
          <w:b/>
        </w:rPr>
        <w:t>Add a joining-time-pay &amp; transfer-entitlement signal to the M10 contract</w:t>
      </w:r>
      <w:r>
        <w:t xml:space="preserve">, keyed on </w:t>
      </w:r>
      <w:r>
        <w:rPr>
          <w:rFonts w:ascii="Consolas" w:hAnsi="Consolas"/>
          <w:sz w:val="20"/>
        </w:rPr>
        <w:t>transfer_type</w:t>
      </w:r>
      <w:r>
        <w:t xml:space="preserve"> and </w:t>
      </w:r>
      <w:r>
        <w:rPr>
          <w:rFonts w:ascii="Consolas" w:hAnsi="Consolas"/>
          <w:sz w:val="20"/>
        </w:rPr>
        <w:t>ground</w:t>
      </w:r>
      <w:r>
        <w:t xml:space="preserve"> (own-request vs administrative differ in TTA, transfer grant, and joining-time admissibility). Extend §8.3 integration and §5.2.2 with an entitlement reference. (Risks 1, 9)</w:t>
      </w:r>
    </w:p>
    <w:p>
      <w:pPr>
        <w:pStyle w:val="ListNumber"/>
      </w:pPr>
      <w:r>
        <w:rPr>
          <w:b/>
        </w:rPr>
        <w:t>Introduce an Authority "forced-action" power</w:t>
      </w:r>
      <w:r>
        <w:t xml:space="preserve"> as a single mechanism: </w:t>
      </w:r>
      <w:r>
        <w:rPr>
          <w:rFonts w:ascii="Consolas" w:hAnsi="Consolas"/>
          <w:sz w:val="20"/>
        </w:rPr>
        <w:t>deemed_clearance</w:t>
      </w:r>
      <w:r>
        <w:t xml:space="preserve"> (after SLA + escalation chain dept-officer → dept-head → Authority), </w:t>
      </w:r>
      <w:r>
        <w:rPr>
          <w:rFonts w:ascii="Consolas" w:hAnsi="Consolas"/>
          <w:sz w:val="20"/>
        </w:rPr>
        <w:t>handover_under_protest</w:t>
      </w:r>
      <w:r>
        <w:t xml:space="preserve">, and </w:t>
      </w:r>
      <w:r>
        <w:rPr>
          <w:rFonts w:ascii="Consolas" w:hAnsi="Consolas"/>
          <w:sz w:val="20"/>
        </w:rPr>
        <w:t>deemed_relief</w:t>
      </w:r>
      <w:r>
        <w:t>/</w:t>
      </w:r>
      <w:r>
        <w:rPr>
          <w:rFonts w:ascii="Consolas" w:hAnsi="Consolas"/>
          <w:sz w:val="20"/>
        </w:rPr>
        <w:t>stand_relieved</w:t>
      </w:r>
      <w:r>
        <w:t xml:space="preserve">. Add a </w:t>
      </w:r>
      <w:r>
        <w:rPr>
          <w:rFonts w:ascii="Consolas" w:hAnsi="Consolas"/>
          <w:sz w:val="20"/>
        </w:rPr>
        <w:t>forced_action_reason</w:t>
      </w:r>
      <w:r>
        <w:t xml:space="preserve"> + approver audit on the relevant entities. This closes disputed-handover, non-responsive-clearance, and source-refuses-to-relieve in one stroke. (Risk 3)</w:t>
      </w:r>
    </w:p>
    <w:p>
      <w:pPr>
        <w:pStyle w:val="ListNumber"/>
      </w:pPr>
      <w:r>
        <w:rPr>
          <w:b/>
        </w:rPr>
        <w:t>Add deemed/escalation clearance to FR-TRJ-006:</w:t>
      </w:r>
      <w:r>
        <w:t xml:space="preserve"> per-item SLA with escalation tiers and an auto- or Authority-granted </w:t>
      </w:r>
      <w:r>
        <w:rPr>
          <w:rFonts w:ascii="Consolas" w:hAnsi="Consolas"/>
          <w:sz w:val="20"/>
        </w:rPr>
        <w:t>WAIVED/DEEMED_CLEARED</w:t>
      </w:r>
      <w:r>
        <w:t xml:space="preserve"> state so one non-responsive officer cannot block relieving indefinitely. (Risk 3)</w:t>
      </w:r>
    </w:p>
    <w:p>
      <w:pPr>
        <w:pStyle w:val="ListNumber"/>
      </w:pPr>
      <w:r>
        <w:rPr>
          <w:b/>
        </w:rPr>
        <w:t>Add a representation / stay-order hold state.</w:t>
      </w:r>
      <w:r>
        <w:t xml:space="preserve"> New </w:t>
      </w:r>
      <w:r>
        <w:rPr>
          <w:rFonts w:ascii="Consolas" w:hAnsi="Consolas"/>
          <w:sz w:val="20"/>
        </w:rPr>
        <w:t>STAY_HOLD</w:t>
      </w:r>
      <w:r>
        <w:t xml:space="preserve"> order status and a </w:t>
      </w:r>
      <w:r>
        <w:rPr>
          <w:rFonts w:ascii="Consolas" w:hAnsi="Consolas"/>
          <w:sz w:val="20"/>
        </w:rPr>
        <w:t>transfer_representations</w:t>
      </w:r>
      <w:r>
        <w:t xml:space="preserve"> entity (type: REPRESENTATION/COURT_STAY/RETENTION_REQUEST, authority, document, decision) that can pause an order at any pre-join stage with full audit. (Risk 4)</w:t>
      </w:r>
    </w:p>
    <w:p>
      <w:pPr>
        <w:pStyle w:val="ListNumber"/>
      </w:pPr>
      <w:r>
        <w:rPr>
          <w:b/>
        </w:rPr>
        <w:t>Add a non-joining / abandonment path.</w:t>
      </w:r>
      <w:r>
        <w:t xml:space="preserve"> Define handling for an employee who never joins beyond grace: </w:t>
      </w:r>
      <w:r>
        <w:rPr>
          <w:rFonts w:ascii="Consolas" w:hAnsi="Consolas"/>
          <w:sz w:val="20"/>
        </w:rPr>
        <w:t>LATE_JOINING_REVIEW → REVERT_TO_SOURCE</w:t>
      </w:r>
      <w:r>
        <w:t xml:space="preserve"> (re-join at source as a reverse joining) or </w:t>
      </w:r>
      <w:r>
        <w:rPr>
          <w:b/>
        </w:rPr>
        <w:t>disciplinary linkage to M09</w:t>
      </w:r>
      <w:r>
        <w:t>, with pay status defined for the limbo period. (Risk 4)</w:t>
      </w:r>
    </w:p>
    <w:p>
      <w:pPr>
        <w:pStyle w:val="ListNumber"/>
      </w:pPr>
      <w:r>
        <w:rPr>
          <w:b/>
        </w:rPr>
        <w:t>Fully field-specify the `outbox` table in §5.2</w:t>
      </w:r>
      <w:r>
        <w:t xml:space="preserve"> (id, aggregate ref, event_type, payload, idempotency_key, status, attempt_count, next_attempt_at, dead_lettered_at, created_at) and define the idempotency-key formula and dead-letter retention. Freeze this contract before parallel build. (Risk 5)</w:t>
      </w:r>
    </w:p>
    <w:p>
      <w:pPr>
        <w:pStyle w:val="ListNumber"/>
      </w:pPr>
      <w:r>
        <w:rPr>
          <w:b/>
        </w:rPr>
        <w:t>Introduce a single `TransferOrderStateService`</w:t>
      </w:r>
      <w:r>
        <w:t xml:space="preserve"> owned by one agent and consumed by C and D, as the only writer of </w:t>
      </w:r>
      <w:r>
        <w:rPr>
          <w:rFonts w:ascii="Consolas" w:hAnsi="Consolas"/>
          <w:sz w:val="20"/>
        </w:rPr>
        <w:t>transfer_orders.status</w:t>
      </w:r>
      <w:r>
        <w:t>; update §14.3 parallel-agent plan to remove the shared-write conflict. (Risk 5, sequencing)</w:t>
      </w:r>
    </w:p>
    <w:p>
      <w:pPr>
        <w:pStyle w:val="ListNumber"/>
      </w:pPr>
      <w:r>
        <w:rPr>
          <w:b/>
        </w:rPr>
        <w:t>Define the vacancy lifecycle explicitly:</w:t>
      </w:r>
      <w:r>
        <w:t xml:space="preserve"> a post becomes </w:t>
      </w:r>
      <w:r>
        <w:rPr>
          <w:rFonts w:ascii="Consolas" w:hAnsi="Consolas"/>
          <w:sz w:val="20"/>
        </w:rPr>
        <w:t>vacant</w:t>
      </w:r>
      <w:r>
        <w:t xml:space="preserve"> on </w:t>
      </w:r>
      <w:r>
        <w:rPr>
          <w:b/>
        </w:rPr>
        <w:t>relieving</w:t>
      </w:r>
      <w:r>
        <w:t xml:space="preserve"> at source and </w:t>
      </w:r>
      <w:r>
        <w:rPr>
          <w:rFonts w:ascii="Consolas" w:hAnsi="Consolas"/>
          <w:sz w:val="20"/>
        </w:rPr>
        <w:t>filled</w:t>
      </w:r>
      <w:r>
        <w:t xml:space="preserve"> on </w:t>
      </w:r>
      <w:r>
        <w:rPr>
          <w:b/>
        </w:rPr>
        <w:t>joining</w:t>
      </w:r>
      <w:r>
        <w:t xml:space="preserve"> at destination; add a transactional re-check of </w:t>
      </w:r>
      <w:r>
        <w:rPr>
          <w:rFonts w:ascii="Consolas" w:hAnsi="Consolas"/>
          <w:sz w:val="20"/>
        </w:rPr>
        <w:t>vacant_count &gt; 0</w:t>
      </w:r>
      <w:r>
        <w:t xml:space="preserve"> at </w:t>
      </w:r>
      <w:r>
        <w:rPr>
          <w:b/>
        </w:rPr>
        <w:t>join</w:t>
      </w:r>
      <w:r>
        <w:t xml:space="preserve"> time (not only at allotment) to prevent cascading-vacancy double-fill in bulk drives. (Risk 6)</w:t>
      </w:r>
    </w:p>
    <w:p>
      <w:pPr>
        <w:pStyle w:val="ListNumber"/>
      </w:pPr>
      <w:r>
        <w:rPr>
          <w:b/>
        </w:rPr>
        <w:t>Make `vacancy_positions` strength read-through.</w:t>
      </w:r>
      <w:r>
        <w:t xml:space="preserve"> Remove </w:t>
      </w:r>
      <w:r>
        <w:rPr>
          <w:rFonts w:ascii="Consolas" w:hAnsi="Consolas"/>
          <w:sz w:val="20"/>
        </w:rPr>
        <w:t>sanctioned_strength</w:t>
      </w:r>
      <w:r>
        <w:t>/</w:t>
      </w:r>
      <w:r>
        <w:rPr>
          <w:rFonts w:ascii="Consolas" w:hAnsi="Consolas"/>
          <w:sz w:val="20"/>
        </w:rPr>
        <w:t>filled_count</w:t>
      </w:r>
      <w:r>
        <w:t xml:space="preserve"> as a second source of truth; read from M01/M06 with a reconciliation job, keeping only drive-scoped reservation state in M05. (Risk 7)</w:t>
      </w:r>
    </w:p>
    <w:p>
      <w:pPr>
        <w:pStyle w:val="ListNumber"/>
      </w:pPr>
      <w:r>
        <w:rPr>
          <w:b/>
        </w:rPr>
        <w:t>Reframe integrity rule §5.6-1</w:t>
      </w:r>
      <w:r>
        <w:t xml:space="preserve"> from "one active order" to "</w:t>
      </w:r>
      <w:r>
        <w:rPr>
          <w:b/>
        </w:rPr>
        <w:t>one active *substantive* posting transition</w:t>
      </w:r>
      <w:r>
        <w:t xml:space="preserve">," and add </w:t>
      </w:r>
      <w:r>
        <w:rPr>
          <w:rFonts w:ascii="Consolas" w:hAnsi="Consolas"/>
          <w:sz w:val="20"/>
        </w:rPr>
        <w:t>order_class</w:t>
      </w:r>
      <w:r>
        <w:t xml:space="preserve"> (SUBSTANTIVE / ADDITIONAL_CHARGE / DEPUTATION / REPATRIATION) so additional-charge and deputation can legitimately co-exist with a substantive posting. (Risk 8)</w:t>
      </w:r>
    </w:p>
    <w:p>
      <w:pPr>
        <w:pStyle w:val="ListNumber"/>
      </w:pPr>
      <w:r>
        <w:rPr>
          <w:b/>
        </w:rPr>
        <w:t>Add a working-day/holiday calendar service contract</w:t>
      </w:r>
      <w:r>
        <w:t xml:space="preserve"> (regional-calendar aware) as a named dependency in §8.3; remove the silent "Sat/Sun + national holidays" fallback in FR-TRJ-009 and replace with an explicit configured-calendar requirement. Compute joining time by </w:t>
      </w:r>
      <w:r>
        <w:rPr>
          <w:b/>
        </w:rPr>
        <w:t>distance band</w:t>
      </w:r>
      <w:r>
        <w:t xml:space="preserve"> per §16.4, not a flat </w:t>
      </w:r>
      <w:r>
        <w:rPr>
          <w:rFonts w:ascii="Consolas" w:hAnsi="Consolas"/>
          <w:sz w:val="20"/>
        </w:rPr>
        <w:t>joining_time_days</w:t>
      </w:r>
      <w:r>
        <w:t>. (Risk 10)</w:t>
      </w:r>
    </w:p>
    <w:p>
      <w:pPr>
        <w:pStyle w:val="ListNumber"/>
      </w:pPr>
      <w:r>
        <w:rPr>
          <w:b/>
        </w:rPr>
        <w:t>Capture joining-sequence integrity for seniority.</w:t>
      </w:r>
      <w:r>
        <w:t xml:space="preserve"> Record the joining order/timestamp and a deterministic tie-break (e.g., by </w:t>
      </w:r>
      <w:r>
        <w:rPr>
          <w:rFonts w:ascii="Consolas" w:hAnsi="Consolas"/>
          <w:sz w:val="20"/>
        </w:rPr>
        <w:t>service_no</w:t>
      </w:r>
      <w:r>
        <w:t>) and expose it to M06; add an integrity rule so concurrent same-cadre joinings produce a defensible inter-se order. (Risk 11)</w:t>
      </w:r>
    </w:p>
    <w:p>
      <w:pPr>
        <w:pStyle w:val="ListNumber"/>
      </w:pPr>
      <w:r>
        <w:rPr>
          <w:b/>
        </w:rPr>
        <w:t>Add order proof-of-service &amp; acknowledgement.</w:t>
      </w:r>
      <w:r>
        <w:t xml:space="preserve"> New fields/entity for </w:t>
      </w:r>
      <w:r>
        <w:rPr>
          <w:rFonts w:ascii="Consolas" w:hAnsi="Consolas"/>
          <w:sz w:val="20"/>
        </w:rPr>
        <w:t>served_on_date</w:t>
      </w:r>
      <w:r>
        <w:t xml:space="preserve">, </w:t>
      </w:r>
      <w:r>
        <w:rPr>
          <w:rFonts w:ascii="Consolas" w:hAnsi="Consolas"/>
          <w:sz w:val="20"/>
        </w:rPr>
        <w:t>acknowledged_at</w:t>
      </w:r>
      <w:r>
        <w:t>, and delivery channel; make relieve-by enforcement and non-compliance discipline reference the served date, not the order date. (Risk 12)</w:t>
      </w:r>
    </w:p>
    <w:p>
      <w:pPr>
        <w:pStyle w:val="ListNumber"/>
      </w:pPr>
      <w:r>
        <w:rPr>
          <w:b/>
        </w:rPr>
        <w:t>Guarantee gapless statutory numbering.</w:t>
      </w:r>
      <w:r>
        <w:t xml:space="preserve"> Replace "retry sequence on collision" with a reserve-then-commit numbering scheme, per-office/per-year sequence policy, and a gap-audit report; document in §16. (Risk 13)</w:t>
      </w:r>
    </w:p>
    <w:p>
      <w:pPr>
        <w:pStyle w:val="ListNumber"/>
      </w:pPr>
      <w:r>
        <w:rPr>
          <w:b/>
        </w:rPr>
        <w:t>Couple mutual transfers through relieving and joining</w:t>
      </w:r>
      <w:r>
        <w:t>, not just approval (§5.6-5). Add an integrity rule preventing asymmetric completion (one half joined while the other's clearance stalls), with a paired-progress guard. (Risk 14)</w:t>
      </w:r>
    </w:p>
    <w:p>
      <w:pPr>
        <w:pStyle w:val="ListNumber"/>
      </w:pPr>
      <w:r>
        <w:rPr>
          <w:b/>
        </w:rPr>
        <w:t>Add a `COUNSELLING` interactive-session model</w:t>
      </w:r>
      <w:r>
        <w:t xml:space="preserve"> alongside the batch allotment: new </w:t>
      </w:r>
      <w:r>
        <w:rPr>
          <w:rFonts w:ascii="Consolas" w:hAnsi="Consolas"/>
          <w:sz w:val="20"/>
        </w:rPr>
        <w:t>counselling_sessions</w:t>
      </w:r>
      <w:r>
        <w:t xml:space="preserve"> entity with per-candidate turn order (by seniority/merit), a vacancy lock during a candidate's turn, and an immutable choice log — selected when </w:t>
      </w:r>
      <w:r>
        <w:rPr>
          <w:rFonts w:ascii="Consolas" w:hAnsi="Consolas"/>
          <w:sz w:val="20"/>
        </w:rPr>
        <w:t>drive_type = COUNSELLING</w:t>
      </w:r>
      <w:r>
        <w:t>; retain batch allotment for SENIORITY/MERIT/MANUAL drives. (Fundamental clash resolution)</w:t>
      </w:r>
    </w:p>
    <w:p>
      <w:pPr>
        <w:pStyle w:val="ListNumber"/>
      </w:pPr>
      <w:r>
        <w:rPr>
          <w:b/>
        </w:rPr>
        <w:t>Ring-fence sensitive-ground documents.</w:t>
      </w:r>
      <w:r>
        <w:t xml:space="preserve"> Classify medical/spouse/compassionate supporting documents as a DPDP sensitive category in M13 with restricted access and explicit access logging; note in §9 Privacy. (Risk 15)</w:t>
      </w:r>
    </w:p>
    <w:p>
      <w:pPr>
        <w:pStyle w:val="ListNumber"/>
      </w:pPr>
      <w:r>
        <w:rPr>
          <w:b/>
        </w:rPr>
        <w:t>Model government quarters/estate as a sub-process,</w:t>
      </w:r>
      <w:r>
        <w:t xml:space="preserve"> not one checklist line: retention-allowed flag, vacation-by date, and a licence-fee-recovery signal to M10 when accommodation is retained post-transfer. (Risk 16)</w:t>
      </w:r>
    </w:p>
    <w:p>
      <w:pPr>
        <w:pStyle w:val="ListNumber"/>
      </w:pPr>
      <w:r>
        <w:rPr>
          <w:b/>
        </w:rPr>
        <w:t>Rationalise the enum taxonomy.</w:t>
      </w:r>
      <w:r>
        <w:t xml:space="preserve"> Collapse </w:t>
      </w:r>
      <w:r>
        <w:rPr>
          <w:rFonts w:ascii="Consolas" w:hAnsi="Consolas"/>
          <w:sz w:val="20"/>
        </w:rPr>
        <w:t>REQUEST</w:t>
      </w:r>
      <w:r>
        <w:t>/</w:t>
      </w:r>
      <w:r>
        <w:rPr>
          <w:rFonts w:ascii="Consolas" w:hAnsi="Consolas"/>
          <w:sz w:val="20"/>
        </w:rPr>
        <w:t>TRANSFER_ON_REQUEST</w:t>
      </w:r>
      <w:r>
        <w:t xml:space="preserve"> duplication, and define orthogonal axes: </w:t>
      </w:r>
      <w:r>
        <w:rPr>
          <w:rFonts w:ascii="Consolas" w:hAnsi="Consolas"/>
          <w:sz w:val="20"/>
        </w:rPr>
        <w:t>transfer_type</w:t>
      </w:r>
      <w:r>
        <w:t xml:space="preserve"> (mechanism), </w:t>
      </w:r>
      <w:r>
        <w:rPr>
          <w:rFonts w:ascii="Consolas" w:hAnsi="Consolas"/>
          <w:sz w:val="20"/>
        </w:rPr>
        <w:t>ground</w:t>
      </w:r>
      <w:r>
        <w:t xml:space="preserve"> (justification), </w:t>
      </w:r>
      <w:r>
        <w:rPr>
          <w:rFonts w:ascii="Consolas" w:hAnsi="Consolas"/>
          <w:sz w:val="20"/>
        </w:rPr>
        <w:t>priority_category</w:t>
      </w:r>
      <w:r>
        <w:t xml:space="preserve"> (protection) with a clear catalog note so the five agents capture data consistently. (Risk 17)</w:t>
      </w:r>
    </w:p>
    <w:p>
      <w:pPr>
        <w:pStyle w:val="ListNumber"/>
      </w:pPr>
      <w:r>
        <w:rPr>
          <w:b/>
        </w:rPr>
        <w:t>Add acceptance tests for the new invariants</w:t>
      </w:r>
      <w:r>
        <w:t>, especially: pay-continuity/no-gap (now testable post-improvement 1), in-transit custody (no dual/zero posting), deemed-clearance/forced-relief audit, mutual-pair coupling, and "0% *un-overridden* ban/tenure violations" (assert the override audit trail so valid overrides aren't flagged as failures). (Risks 1, 2, 3, 14; testability)</w:t>
      </w:r>
    </w:p>
    <w:p>
      <w:pPr>
        <w:pStyle w:val="ListNumber"/>
      </w:pPr>
      <w:r>
        <w:rPr>
          <w:b/>
        </w:rPr>
        <w:t>Add a "Domain Primer" appendix</w:t>
      </w:r>
      <w:r>
        <w:t xml:space="preserve"> defining LPC, no-dues, imprest/DDO charge, MCC, cadre, officiating, forenoon/afternoon relieving, deputation/repatriation — and explicitly state *why forenoon/afternoon relieving matters* (it sets whether the day counts as source duty vs transit, affecting pay and seniority). (Outsider/clarity)</w:t>
      </w:r>
    </w:p>
    <w:p>
      <w:pPr>
        <w:pStyle w:val="ListNumber"/>
      </w:pPr>
      <w:r>
        <w:rPr>
          <w:b/>
        </w:rPr>
        <w:t>Re-prioritise FR-TRJ-014 mapping</w:t>
      </w:r>
      <w:r>
        <w:t xml:space="preserve"> as a Phase-2 enhancement and elevate the representation/stay-order flow (improvement 6) into the baseline build order in §14.2. (Risk 18)</w:t>
      </w:r>
    </w:p>
    <w:p>
      <w:r>
        <w:t>*End of council report — M05-TRJ BRD v1.0*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Page </w:t>
    </w:r>
    <w:r>
      <w:fldChar w:fldCharType="begin"/>
      <w:instrText xml:space="preserve">PAGE</w:instrText>
      <w:fldChar w:fldCharType="separate"/>
      <w:t/>
      <w:fldChar w:fldCharType="end"/>
    </w:r>
    <w:r>
      <w:rPr>
        <w:sz w:val="18"/>
      </w:rPr>
      <w:t xml:space="preserve"> of </w:t>
    </w:r>
    <w:r>
      <w:fldChar w:fldCharType="begin"/>
      <w:instrText xml:space="preserve">NUMPAGES</w:instrText>
      <w:fldChar w:fldCharType="separate"/>
      <w:t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color w:val="808080"/>
        <w:sz w:val="16"/>
      </w:rPr>
      <w:t xml:space="preserve"> Adversarial Idea Evaluator — Council Report</w:t>
      <w:tab/>
      <w:t>Confidential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