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M06-PPP: Promotion, Posting &amp; Progression Monitoring BRD (v1.0)</w:t>
      </w:r>
    </w:p>
    <w:p>
      <w:r>
        <w:rPr>
          <w:b/>
        </w:rPr>
        <w:t>Framed question:</w:t>
      </w:r>
      <w:r>
        <w:t xml:space="preserve"> Is this Promotion, Posting &amp; Progression Monitoring BRD complete, correct, and world-class (seniority, DPC/promotion panels, eligibility, reservation roster, financial up-gradation ACP/MACP, SR posting)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Artefacts reviewed:</w:t>
      </w:r>
      <w:r>
        <w:t xml:space="preserve"> </w:t>
      </w:r>
      <w:r>
        <w:rPr>
          <w:rFonts w:ascii="Consolas" w:hAnsi="Consolas"/>
          <w:sz w:val="20"/>
        </w:rPr>
        <w:t>/Users/n15318/hrms/docs/brd/v1/M06-promotion-posting-progression.md</w:t>
      </w:r>
      <w:r>
        <w:t xml:space="preserve"> (16 sections, 24 module entities, 14 FRs); </w:t>
      </w:r>
      <w:r>
        <w:rPr>
          <w:rFonts w:ascii="Consolas" w:hAnsi="Consolas"/>
          <w:sz w:val="20"/>
        </w:rPr>
        <w:t>/Users/n15318/hrms/docs/brd/SHARED_FOUNDATION.md</w:t>
      </w:r>
      <w:r>
        <w:t>.</w:t>
      </w:r>
    </w:p>
    <w:p>
      <w:r>
        <w:rPr>
          <w:b/>
        </w:rPr>
        <w:t>Method:</w:t>
      </w:r>
      <w:r>
        <w:t xml:space="preserve"> Five independent advisors → anonymous peer review (A–E) → chairman synthesis → focused second pass on the fundamental clash → Adopted Improvements for BRD v2.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>This is a genuinely strong, build-ready BRD that already clears most of the bar a Workday/SuccessFactors/Oracle HCM reviewer would set, then adds the public-sector statutory depth those suites lack out of the box. Its strengths are concrete and rare:</w:t>
      </w:r>
    </w:p>
    <w:p>
      <w:pPr>
        <w:pStyle w:val="ListBullet"/>
      </w:pPr>
      <w:r>
        <w:rPr>
          <w:b/>
        </w:rPr>
        <w:t>Correct decomposition of the quasi-judicial pipeline.</w:t>
      </w:r>
      <w:r>
        <w:t xml:space="preserve"> Seniority → eligibility → zone of consideration → DPC verdict → select list → roster reconciliation → order → SR posting is the actual constitutional sequence, and each stage is a first-class, separately-auditable entity rather than a status flag on one mega-table. The state tables (§11) are explicit and guard-conditioned.</w:t>
      </w:r>
    </w:p>
    <w:p>
      <w:pPr>
        <w:pStyle w:val="ListBullet"/>
      </w:pPr>
      <w:r>
        <w:rPr>
          <w:b/>
        </w:rPr>
        <w:t>Sealed cover done properly (FR-008).</w:t>
      </w:r>
      <w:r>
        <w:t xml:space="preserve"> The BRD models the hard part — DPC still assesses fitness, recommendation is sealed, post kept vacant/provisional, Review DPC on M09 conclusion, notional date on exoneration, supersession on penalty, restricted visibility. Most commercial HCM cannot express this at all.</w:t>
      </w:r>
    </w:p>
    <w:p>
      <w:pPr>
        <w:pStyle w:val="ListBullet"/>
      </w:pPr>
      <w:r>
        <w:rPr>
          <w:b/>
        </w:rPr>
        <w:t>MACP as a vacancy-independent track (FR-011)</w:t>
      </w:r>
      <w:r>
        <w:t xml:space="preserve"> with screening committee, benchmark, cap, deferral-on-penalty, and clean handoff of pay arithmetic to M10 — a textbook separation that prevents M06 from re-implementing payroll.</w:t>
      </w:r>
    </w:p>
    <w:p>
      <w:pPr>
        <w:pStyle w:val="ListBullet"/>
      </w:pPr>
      <w:r>
        <w:rPr>
          <w:b/>
        </w:rPr>
        <w:t>Statutory integrity rules (§5.6)</w:t>
      </w:r>
      <w:r>
        <w:t xml:space="preserve"> — gap-free order numbering, single active final list per scope, transactional select-list/order/MACP writes, idempotent SR posting keyed on </w:t>
      </w:r>
      <w:r>
        <w:rPr>
          <w:rFonts w:ascii="Consolas" w:hAnsi="Consolas"/>
          <w:sz w:val="20"/>
        </w:rPr>
        <w:t>source_module+source_event_id</w:t>
      </w:r>
      <w:r>
        <w:t>, no-self-adjudication. These are exactly the invariants that survive a CAG audit.</w:t>
      </w:r>
    </w:p>
    <w:p>
      <w:pPr>
        <w:pStyle w:val="ListBullet"/>
      </w:pPr>
      <w:r>
        <w:rPr>
          <w:b/>
        </w:rPr>
        <w:t>Reconstruction-grade auditability</w:t>
      </w:r>
      <w:r>
        <w:t xml:space="preserve"> — every decision is replayable, eligibility frozen at </w:t>
      </w:r>
      <w:r>
        <w:rPr>
          <w:rFonts w:ascii="Consolas" w:hAnsi="Consolas"/>
          <w:sz w:val="20"/>
        </w:rPr>
        <w:t>DPC_HELD</w:t>
      </w:r>
      <w:r>
        <w:t>, snapshots of APAR inputs in JSONB. This is what defeats a tribunal challenge.</w:t>
      </w:r>
    </w:p>
    <w:p>
      <w:pPr>
        <w:pStyle w:val="ListBullet"/>
      </w:pPr>
      <w:r>
        <w:rPr>
          <w:b/>
        </w:rPr>
        <w:t>Parallel-agent plan (§15.3) with locked shared contracts</w:t>
      </w:r>
      <w:r>
        <w:t xml:space="preserve"> (</w:t>
      </w:r>
      <w:r>
        <w:rPr>
          <w:rFonts w:ascii="Consolas" w:hAnsi="Consolas"/>
          <w:sz w:val="20"/>
        </w:rPr>
        <w:t>SrPostingGateway</w:t>
      </w:r>
      <w:r>
        <w:t xml:space="preserve">, </w:t>
      </w:r>
      <w:r>
        <w:rPr>
          <w:rFonts w:ascii="Consolas" w:hAnsi="Consolas"/>
          <w:sz w:val="20"/>
        </w:rPr>
        <w:t>OrderService.create()</w:t>
      </w:r>
      <w:r>
        <w:t xml:space="preserve">, </w:t>
      </w:r>
      <w:r>
        <w:rPr>
          <w:rFonts w:ascii="Consolas" w:hAnsi="Consolas"/>
          <w:sz w:val="20"/>
        </w:rPr>
        <w:t>EligibilityEngine</w:t>
      </w:r>
      <w:r>
        <w:t>) is unusually disciplined and will actually let a fleet build this without colliding.</w:t>
      </w:r>
    </w:p>
    <w:p>
      <w:r>
        <w:t>The world-class layer (succession 9-box, career-path stepper, eligibility-cohort projection, self-service progression timeline) is present and correctly marked advisory, not auto-promotion. Net: ship the spine as-is; the gaps below are refinements, not foundations.</w:t>
      </w:r>
    </w:p>
    <w:p>
      <w:pPr>
        <w:pStyle w:val="Heading3"/>
      </w:pPr>
      <w:r>
        <w:rPr>
          <w:b/>
          <w:color w:val="2E5B9E"/>
          <w:sz w:val="26"/>
        </w:rPr>
        <w:t>Advisor 2 — The Contrarian (non-obvious failure modes)</w:t>
      </w:r>
    </w:p>
    <w:p>
      <w:r>
        <w:t>The BRD is strong on the *happy statutory path* and dangerously thin exactly where public-sector promotions actually get litigated and set aside. Specific failure modes the author under-modelled:</w:t>
      </w:r>
    </w:p>
    <w:p>
      <w:pPr>
        <w:pStyle w:val="ListNumber"/>
      </w:pPr>
      <w:r>
        <w:rPr>
          <w:b/>
        </w:rPr>
        <w:t>Inter-se seniority across recruitment streams is absent.</w:t>
      </w:r>
      <w:r>
        <w:t xml:space="preserve"> The entire seniority model (</w:t>
      </w:r>
      <w:r>
        <w:rPr>
          <w:rFonts w:ascii="Consolas" w:hAnsi="Consolas"/>
          <w:sz w:val="20"/>
        </w:rPr>
        <w:t>seniority_lists</w:t>
      </w:r>
      <w:r>
        <w:t>/</w:t>
      </w:r>
      <w:r>
        <w:rPr>
          <w:rFonts w:ascii="Consolas" w:hAnsi="Consolas"/>
          <w:sz w:val="20"/>
        </w:rPr>
        <w:t>seniority_entries</w:t>
      </w:r>
      <w:r>
        <w:t xml:space="preserve">) assumes one feeder grade = one ranked stream. In reality the same grade is fed by </w:t>
      </w:r>
      <w:r>
        <w:rPr>
          <w:b/>
        </w:rPr>
        <w:t>direct recruits + promotees + LDCE qualifiers</w:t>
      </w:r>
      <w:r>
        <w:t xml:space="preserve">, and fixing their *combined inter-se seniority* (rota-quota / rotation of vacancies, the </w:t>
      </w:r>
      <w:r>
        <w:rPr>
          <w:rFonts w:ascii="Consolas" w:hAnsi="Consolas"/>
          <w:sz w:val="20"/>
        </w:rPr>
        <w:t>N.R. Parmar</w:t>
      </w:r>
      <w:r>
        <w:t xml:space="preserve"> line of disputes) is THE most litigated thing in Indian service law. There is no quota, no rotation, no stream tag, no combined-list construction. This alone can unwind a batch.</w:t>
      </w:r>
    </w:p>
    <w:p>
      <w:pPr>
        <w:pStyle w:val="ListNumber"/>
      </w:pPr>
      <w:r>
        <w:rPr>
          <w:b/>
        </w:rPr>
        <w:t>Reservation-in-promotion has no constitutional gating data.</w:t>
      </w:r>
      <w:r>
        <w:t xml:space="preserve"> Roster points are modelled as a clean cycle, but promotion reservation legally requires the State to hold </w:t>
      </w:r>
      <w:r>
        <w:rPr>
          <w:b/>
        </w:rPr>
        <w:t>quantifiable data of inadequacy of representation + effect on administrative efficiency</w:t>
      </w:r>
      <w:r>
        <w:t xml:space="preserve"> (M. Nagaraj / Jarnail Singh) before applying it, plus </w:t>
      </w:r>
      <w:r>
        <w:rPr>
          <w:b/>
        </w:rPr>
        <w:t>consequential seniority / catch-up</w:t>
      </w:r>
      <w:r>
        <w:t xml:space="preserve"> treatment (Art 16(4A)). None of this exists. Worse, </w:t>
      </w:r>
      <w:r>
        <w:rPr>
          <w:b/>
        </w:rPr>
        <w:t>own-merit migration is missing</w:t>
      </w:r>
      <w:r>
        <w:t>: a reserved candidate selected on merit against a UR point must be adjusted against UR, not consume a reserved point — getting this wrong silently over-counts reservation and is a guaranteed challenge. Creamy-layer (OBC) and EWS certificate currency as-of-crucial-date are also unmodelled.</w:t>
      </w:r>
    </w:p>
    <w:p>
      <w:pPr>
        <w:pStyle w:val="ListNumber"/>
      </w:pPr>
      <w:r>
        <w:rPr>
          <w:b/>
        </w:rPr>
        <w:t>APAR usability gap — the silent batch-killer.</w:t>
      </w:r>
      <w:r>
        <w:t xml:space="preserve"> FR-003 reads APAR grades from M08 and benchmarks them, but </w:t>
      </w:r>
      <w:r>
        <w:rPr>
          <w:b/>
        </w:rPr>
        <w:t>never checks whether a below-benchmark/adverse APAR was communicated to the employee and the representation disposed.</w:t>
      </w:r>
      <w:r>
        <w:t xml:space="preserve"> Per </w:t>
      </w:r>
      <w:r>
        <w:rPr>
          <w:rFonts w:ascii="Consolas" w:hAnsi="Consolas"/>
          <w:sz w:val="20"/>
        </w:rPr>
        <w:t>Dev Dutt v. Union of India</w:t>
      </w:r>
      <w:r>
        <w:t xml:space="preserve"> an uncommunicated below-benchmark entry cannot be relied on by a DPC. A DPC that supersedes on an uncommunicated entry is voidable. The model needs an </w:t>
      </w:r>
      <w:r>
        <w:rPr>
          <w:rFonts w:ascii="Consolas" w:hAnsi="Consolas"/>
          <w:sz w:val="20"/>
        </w:rPr>
        <w:t>apar_communicated</w:t>
      </w:r>
      <w:r>
        <w:t>/</w:t>
      </w:r>
      <w:r>
        <w:rPr>
          <w:rFonts w:ascii="Consolas" w:hAnsi="Consolas"/>
          <w:sz w:val="20"/>
        </w:rPr>
        <w:t>representation_status</w:t>
      </w:r>
      <w:r>
        <w:t xml:space="preserve"> gate, not just a grade.</w:t>
      </w:r>
    </w:p>
    <w:p>
      <w:pPr>
        <w:pStyle w:val="ListNumber"/>
      </w:pPr>
      <w:r>
        <w:rPr>
          <w:b/>
        </w:rPr>
        <w:t>No court/tribunal linkage.</w:t>
      </w:r>
      <w:r>
        <w:t xml:space="preserve"> Promotion orders are routinely issued "subject to the outcome of OA/SLP No. …", stayed by interim orders, and reopened on contempt. There is no entity to attach a litigation reference, an interim stay, or a "subject-to-outcome" flag to a case/order/seniority list. Reservation-roster and seniority disputes are *born* in CAT/High Court; the BRD cannot represent that they are sub judice.</w:t>
      </w:r>
    </w:p>
    <w:p>
      <w:pPr>
        <w:pStyle w:val="ListNumber"/>
      </w:pPr>
      <w:r>
        <w:rPr>
          <w:b/>
        </w:rPr>
        <w:t>Retrospective promotion cascades are under-modelled.</w:t>
      </w:r>
      <w:r>
        <w:t xml:space="preserve"> </w:t>
      </w:r>
      <w:r>
        <w:rPr>
          <w:rFonts w:ascii="Consolas" w:hAnsi="Consolas"/>
          <w:sz w:val="20"/>
        </w:rPr>
        <w:t>notional_date</w:t>
      </w:r>
      <w:r>
        <w:t xml:space="preserve"> exists on a single order, but a court-ordered retrospective promotion of one officer re-ranks an entire seniority list, re-fixes pay (stepping-up to cure junior-drawing-more anomalies), and may require re-doing downstream DPCs. There is no cascade/recompute concept and no stepping-up/pay-anomaly flag back to M10.</w:t>
      </w:r>
    </w:p>
    <w:p>
      <w:pPr>
        <w:pStyle w:val="ListNumber"/>
      </w:pPr>
      <w:r>
        <w:rPr>
          <w:b/>
        </w:rPr>
        <w:t>Qualifying-service exclusions are hand-waved.</w:t>
      </w:r>
      <w:r>
        <w:t xml:space="preserve"> </w:t>
      </w:r>
      <w:r>
        <w:rPr>
          <w:rFonts w:ascii="Consolas" w:hAnsi="Consolas"/>
          <w:sz w:val="20"/>
        </w:rPr>
        <w:t>min_qualifying_service_years</w:t>
      </w:r>
      <w:r>
        <w:t xml:space="preserve"> with a vague "broken-service (suspension) deduction" ignores EOL/dies-non/ad-hoc-vs-regular service/deputation counting — each a defined deduction rule. "Configurable" is doing far too much work here.</w:t>
      </w:r>
    </w:p>
    <w:p>
      <w:r>
        <w:rPr>
          <w:b/>
        </w:rPr>
        <w:t>The risk the author most clearly missed: own-merit reserved-candidate migration in the roster (point 2)</w:t>
      </w:r>
      <w:r>
        <w:t xml:space="preserve"> — it is invisible, silent, cumulative, and the single most common reason promotion rosters are struck down.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the module to its irreducible purpose and a cleaner frame emerges. The BRD models promotion as a </w:t>
      </w:r>
      <w:r>
        <w:rPr>
          <w:b/>
        </w:rPr>
        <w:t>linear case pipeline</w:t>
      </w:r>
      <w:r>
        <w:t>. But the actual invariant the system must protect is narrower and deeper:</w:t>
      </w:r>
    </w:p>
    <w:p>
      <w:pPr>
        <w:pStyle w:val="IntenseQuote"/>
      </w:pPr>
      <w:r>
        <w:t>*"For any contested upward movement, reconstruct — as of the legally crucial date — the exact service facts, the exact rule version, and the exact decision, such that the decision is defensible and any later correction propagates truthfully."*</w:t>
      </w:r>
    </w:p>
    <w:p>
      <w:r>
        <w:t>Three first-principles observations follow:</w:t>
      </w:r>
    </w:p>
    <w:p>
      <w:pPr>
        <w:pStyle w:val="ListBullet"/>
      </w:pPr>
      <w:r>
        <w:rPr>
          <w:b/>
        </w:rPr>
        <w:t>The atomic unit is not the case; it is the (employee, grade, crucial-date) eligibility fact.</w:t>
      </w:r>
      <w:r>
        <w:t xml:space="preserve"> Seniority lists, DPCs, MACP screening and progression alerts are all *consumers* of that fact. The BRD half-sees this (eligibility frozen at DPC_HELD, APAR JSONB snapshot) but still scatters service-fact computation across </w:t>
      </w:r>
      <w:r>
        <w:rPr>
          <w:rFonts w:ascii="Consolas" w:hAnsi="Consolas"/>
          <w:sz w:val="20"/>
        </w:rPr>
        <w:t>QualifyingServiceCalculator</w:t>
      </w:r>
      <w:r>
        <w:t xml:space="preserve"> instances in FR-003, FR-011, FR-013/014. A single </w:t>
      </w:r>
      <w:r>
        <w:rPr>
          <w:b/>
        </w:rPr>
        <w:t>versioned Service-Fact / Qualifying-Service ledger</w:t>
      </w:r>
      <w:r>
        <w:t xml:space="preserve"> (computed once, snapshotted, citable) would remove duplication and make every downstream decision cite the same source — exactly what a tribunal demands.</w:t>
      </w:r>
    </w:p>
    <w:p>
      <w:pPr>
        <w:pStyle w:val="ListBullet"/>
      </w:pPr>
      <w:r>
        <w:rPr>
          <w:b/>
        </w:rPr>
        <w:t>Hidden assumption: lists and orders are terminal.</w:t>
      </w:r>
      <w:r>
        <w:t xml:space="preserve"> The whole state machine treats </w:t>
      </w:r>
      <w:r>
        <w:rPr>
          <w:rFonts w:ascii="Consolas" w:hAnsi="Consolas"/>
          <w:sz w:val="20"/>
        </w:rPr>
        <w:t>FINALISED</w:t>
      </w:r>
      <w:r>
        <w:t xml:space="preserve"> and </w:t>
      </w:r>
      <w:r>
        <w:rPr>
          <w:rFonts w:ascii="Consolas" w:hAnsi="Consolas"/>
          <w:sz w:val="20"/>
        </w:rPr>
        <w:t>EFFECTED</w:t>
      </w:r>
      <w:r>
        <w:t xml:space="preserve"> as endpoints. In this domain they are not — courts reopen them. The truthful model is </w:t>
      </w:r>
      <w:r>
        <w:rPr>
          <w:b/>
        </w:rPr>
        <w:t>append-only with supersession + provenance</w:t>
      </w:r>
      <w:r>
        <w:t>, where a "final" list is just the current authoritative version of an ever-correctable record. The BRD has soft-delete and SUPERSEDED states but no notion of a *correction lineage* triggered by an external (judicial) event.</w:t>
      </w:r>
    </w:p>
    <w:p>
      <w:pPr>
        <w:pStyle w:val="ListBullet"/>
      </w:pPr>
      <w:r>
        <w:rPr>
          <w:b/>
        </w:rPr>
        <w:t>Simpler core, richer edges.</w:t>
      </w:r>
      <w:r>
        <w:t xml:space="preserve"> The genuinely hard, irreducible complexity lives in exactly four engines: </w:t>
      </w:r>
      <w:r>
        <w:rPr>
          <w:b/>
        </w:rPr>
        <w:t>seniority construction (multi-stream), the reservation roster mathematics, qualifying-service exclusions, and the zone-of-consideration formula.</w:t>
      </w:r>
      <w:r>
        <w:t xml:space="preserve"> These are the rule-dense, litigation-bearing kernels and they are the *thinnest* FRs in the BRD (003, 004, 006). The career-path/succession/9-box layer (FR-014) is comparatively trivial yet gets equal billing. The framing should invert: specify the four kernels to algorithmic precision, and let the advisory layer stay light.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came in cold. The BRD is dense with insider vocabulary that a non-specialist (or a foreign HCM reviewer) cannot parse without the glossary: *DPC, APAR, ACP/MACP, sealed cover, zone of consideration, crucial date, feeder grade, supersession, roster point, carry-forward, de-reservation, notional date, dies-non, current duty charge.* The glossary (§16.1) helps and is appreciated, but several load-bearing terms are *used in rules before being defined* (e.g., "crucial date" vs "panel year" vs "as-on date" — three different reckoning dates that an outsider will conflate, and the BRD never crisply distinguishes them in one place).</w:t>
      </w:r>
    </w:p>
    <w:p>
      <w:r>
        <w:t>Concerns from the outside:</w:t>
      </w:r>
    </w:p>
    <w:p>
      <w:pPr>
        <w:pStyle w:val="ListBullet"/>
      </w:pPr>
      <w:r>
        <w:rPr>
          <w:b/>
        </w:rPr>
        <w:t>Three different "dates" with overlapping meaning.</w:t>
      </w:r>
      <w:r>
        <w:t xml:space="preserve"> </w:t>
      </w:r>
      <w:r>
        <w:rPr>
          <w:rFonts w:ascii="Consolas" w:hAnsi="Consolas"/>
          <w:sz w:val="20"/>
        </w:rPr>
        <w:t>as_on_date</w:t>
      </w:r>
      <w:r>
        <w:t xml:space="preserve"> (seniority), </w:t>
      </w:r>
      <w:r>
        <w:rPr>
          <w:rFonts w:ascii="Consolas" w:hAnsi="Consolas"/>
          <w:sz w:val="20"/>
        </w:rPr>
        <w:t>crucial_date</w:t>
      </w:r>
      <w:r>
        <w:t xml:space="preserve"> (eligibility), </w:t>
      </w:r>
      <w:r>
        <w:rPr>
          <w:rFonts w:ascii="Consolas" w:hAnsi="Consolas"/>
          <w:sz w:val="20"/>
        </w:rPr>
        <w:t>vacancy_year</w:t>
      </w:r>
      <w:r>
        <w:t xml:space="preserve">/panel year, </w:t>
      </w:r>
      <w:r>
        <w:rPr>
          <w:rFonts w:ascii="Consolas" w:hAnsi="Consolas"/>
          <w:sz w:val="20"/>
        </w:rPr>
        <w:t>effective_date</w:t>
      </w:r>
      <w:r>
        <w:t xml:space="preserve">, </w:t>
      </w:r>
      <w:r>
        <w:rPr>
          <w:rFonts w:ascii="Consolas" w:hAnsi="Consolas"/>
          <w:sz w:val="20"/>
        </w:rPr>
        <w:t>notional_date</w:t>
      </w:r>
      <w:r>
        <w:t>. A newcomer — and an implementing agent — will mis-wire these. They need one explicit "reckoning dates" reference box with worked relationships.</w:t>
      </w:r>
    </w:p>
    <w:p>
      <w:pPr>
        <w:pStyle w:val="ListBullet"/>
      </w:pPr>
      <w:r>
        <w:rPr>
          <w:b/>
        </w:rPr>
        <w:t>"Configurable" appears as the answer to the hardest questions.</w:t>
      </w:r>
      <w:r>
        <w:t xml:space="preserve"> Roster percentages, zone multiplier, qualifying-service treatment, MACP clock, benchmark — all "configuration, not code." To an outsider this reads as *the spec deferring the actual algorithm*. A builder cannot configure an algorithm that was never specified. At minimum the *shape* of each configurable rule (inputs, formula, worked example) must be pinned.</w:t>
      </w:r>
    </w:p>
    <w:p>
      <w:pPr>
        <w:pStyle w:val="ListBullet"/>
      </w:pPr>
      <w:r>
        <w:rPr>
          <w:b/>
        </w:rPr>
        <w:t>Surface area is large but mostly justified.</w:t>
      </w:r>
      <w:r>
        <w:t xml:space="preserve"> 24 entities / 14 FRs is a lot, yet each maps to a real statutory artefact; this is not gratuitous. The one part that feels like a different product is </w:t>
      </w:r>
      <w:r>
        <w:rPr>
          <w:b/>
        </w:rPr>
        <w:t>succession planning + 9-box + career-path competency linkage (FR-014)</w:t>
      </w:r>
      <w:r>
        <w:t xml:space="preserve"> — that's talent-management language bolted onto a statutory-promotion engine. It may belong, but an outsider would ask whether it earns its place in *this* module or is M07/M14 territory.</w:t>
      </w:r>
    </w:p>
    <w:p>
      <w:pPr>
        <w:pStyle w:val="ListBullet"/>
      </w:pPr>
      <w:r>
        <w:rPr>
          <w:b/>
        </w:rPr>
        <w:t>Acronym density in error codes is fine</w:t>
      </w:r>
      <w:r>
        <w:t xml:space="preserve"> (they're for engineers), but UI labels must spell things out for end-users (an Establishment clerk knows "zone of consideration"; an employee on the self-service timeline does not).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>Feasibility is good; the spine is buildable by the parallel plan in §15.3. But the sequencing hides three execution traps and a few missing dependencies.</w:t>
      </w:r>
    </w:p>
    <w:p>
      <w:pPr>
        <w:pStyle w:val="ListBullet"/>
      </w:pPr>
      <w:r>
        <w:rPr>
          <w:b/>
        </w:rPr>
        <w:t>Monday step:</w:t>
      </w:r>
      <w:r>
        <w:t xml:space="preserve"> Lock the four shared contracts named in §15.4 </w:t>
      </w:r>
      <w:r>
        <w:rPr>
          <w:b/>
        </w:rPr>
        <w:t>and</w:t>
      </w:r>
      <w:r>
        <w:t xml:space="preserve"> add a fifth before anyone writes code: the </w:t>
      </w:r>
      <w:r>
        <w:rPr>
          <w:b/>
        </w:rPr>
        <w:t>vacancy / sanctioned-strength contract</w:t>
      </w:r>
      <w:r>
        <w:t xml:space="preserve">. Right now </w:t>
      </w:r>
      <w:r>
        <w:rPr>
          <w:rFonts w:ascii="Consolas" w:hAnsi="Consolas"/>
          <w:sz w:val="20"/>
        </w:rPr>
        <w:t>vacancy_count</w:t>
      </w:r>
      <w:r>
        <w:t xml:space="preserve"> is a free integer "validated against an establishment input/parameter" that *does not exist as an entity*, and FR-012 posting "validates destination post as sanctioned/vacant" against nothing. There is no </w:t>
      </w:r>
      <w:r>
        <w:rPr>
          <w:rFonts w:ascii="Consolas" w:hAnsi="Consolas"/>
          <w:sz w:val="20"/>
        </w:rPr>
        <w:t>sanctioned_posts</w:t>
      </w:r>
      <w:r>
        <w:t>/</w:t>
      </w:r>
      <w:r>
        <w:rPr>
          <w:rFonts w:ascii="Consolas" w:hAnsi="Consolas"/>
          <w:sz w:val="20"/>
        </w:rPr>
        <w:t>establishment</w:t>
      </w:r>
      <w:r>
        <w:t xml:space="preserve"> entity. WP-C and WP-G both block on it. This is the first thing to define.</w:t>
      </w:r>
    </w:p>
    <w:p>
      <w:pPr>
        <w:pStyle w:val="ListBullet"/>
      </w:pPr>
      <w:r>
        <w:rPr>
          <w:b/>
        </w:rPr>
        <w:t>Trap 1 — the rule engines are on the critical path and are under-specified.</w:t>
      </w:r>
      <w:r>
        <w:t xml:space="preserve"> FR-003 (eligibility), FR-004 (zone), FR-006 (roster) are the longest-pole, highest-risk builds, yet are the least algorithmically pinned. Estimate them at 2–3× the others and de-risk with worked-example test vectors *before* coding, or the whole pipeline slips.</w:t>
      </w:r>
    </w:p>
    <w:p>
      <w:pPr>
        <w:pStyle w:val="ListBullet"/>
      </w:pPr>
      <w:r>
        <w:rPr>
          <w:b/>
        </w:rPr>
        <w:t>Trap 2 — cross-module readiness is assumed, not verified.</w:t>
      </w:r>
      <w:r>
        <w:t xml:space="preserve"> FR-003/011 hard-depend on M08 (APAR read) and M09 (vigilance read + case-conclusion event subscription). M09 emitting a reliable conclusion *event* (not just a status read) is a non-trivial dependency the sealed-cover flow (FR-008) lives or dies on. If M09 only offers polling, FR-008's "subscribe to conclusion" must degrade to a scheduled reconcile. Pin this contract now.</w:t>
      </w:r>
    </w:p>
    <w:p>
      <w:pPr>
        <w:pStyle w:val="ListBullet"/>
      </w:pPr>
      <w:r>
        <w:rPr>
          <w:b/>
        </w:rPr>
        <w:t>Trap 3 — increment monitoring overlaps M10.</w:t>
      </w:r>
      <w:r>
        <w:t xml:space="preserve"> </w:t>
      </w:r>
      <w:r>
        <w:rPr>
          <w:rFonts w:ascii="Consolas" w:hAnsi="Consolas"/>
          <w:sz w:val="20"/>
        </w:rPr>
        <w:t>increment_monitor</w:t>
      </w:r>
      <w:r>
        <w:t xml:space="preserve"> (annual/stagnation/efficiency-bar increments, withhold/release) is substantially a *payroll* concern. Building it in M06 risks a dual source of truth with M10 on increments. Decide ownership before WP-H.</w:t>
      </w:r>
    </w:p>
    <w:p>
      <w:pPr>
        <w:pStyle w:val="ListBullet"/>
      </w:pPr>
      <w:r>
        <w:rPr>
          <w:b/>
        </w:rPr>
        <w:t>Sequencing nit:</w:t>
      </w:r>
      <w:r>
        <w:t xml:space="preserve"> FR-008 sealed cover is placed "after C,D" but its Review-DPC reuses FR-005 panel machinery and FR-007 order machinery for *notional* effecting — schedule it adjacent to WP-D, not as a tail.</w:t>
      </w:r>
    </w:p>
    <w:p>
      <w:pPr>
        <w:pStyle w:val="ListBullet"/>
      </w:pPr>
      <w:r>
        <w:rPr>
          <w:b/>
        </w:rPr>
        <w:t>Evidence to demand at each gate:</w:t>
      </w:r>
      <w:r>
        <w:t xml:space="preserve"> roster-compliance reconciliation report = 0 deviations on a seeded multi-category fixture; idempotent SR double-post test; deemed-acceptance timer test; retrospective re-rank cascade test (currently no FR owns this).</w:t>
      </w:r>
    </w:p>
    <w:p>
      <w:pPr>
        <w:pStyle w:val="Heading2"/>
      </w:pPr>
      <w:r>
        <w:rPr>
          <w:b/>
          <w:color w:val="1F3864"/>
          <w:sz w:val="30"/>
        </w:rPr>
        <w:t>2. Anonymous Peer Review (A–E)</w:t>
      </w:r>
    </w:p>
    <w:p>
      <w:pPr>
        <w:pStyle w:val="IntenseQuote"/>
      </w:pPr>
      <w:r>
        <w:t>Advisors anonymised: A = Proponent, B = Contrarian, C = First Principles, D = Outsider, E = Executor.</w:t>
      </w:r>
    </w:p>
    <w:p>
      <w:r>
        <w:rPr>
          <w:b/>
        </w:rPr>
        <w:t>Reviewer 1 on A (Proponent):</w:t>
      </w:r>
    </w:p>
    <w:p>
      <w:r>
        <w:t>(1) Strongest: correctly identifies that the *spine* (seniority→DPC→roster→order→SR) is modelled as separately-auditable entities with real state machines — that genuinely is best-in-class and shouldn't be touched. (2) Biggest blind spot: treats the advisory talent layer (succession/career path) as a clean win without asking whether it dilutes focus from the litigation-bearing kernels. (3) Overstates "ship as-is."</w:t>
      </w:r>
    </w:p>
    <w:p>
      <w:r>
        <w:rPr>
          <w:b/>
        </w:rPr>
        <w:t>Reviewer 2 on B (Contrarian):</w:t>
      </w:r>
    </w:p>
    <w:p>
      <w:r>
        <w:t>(1) Strongest: the own-merit reserved-candidate migration miss and the APAR-communication (</w:t>
      </w:r>
      <w:r>
        <w:rPr>
          <w:rFonts w:ascii="Consolas" w:hAnsi="Consolas"/>
          <w:sz w:val="20"/>
        </w:rPr>
        <w:t>Dev Dutt</w:t>
      </w:r>
      <w:r>
        <w:t>) gate are precise, real, and individually capable of voiding a promotion batch — these are the highest-value findings in the whole council. (2) Biggest blind spot: B lists many failure modes but doesn't prioritise build effort or acknowledge that some (e.g., full multi-stream rota-quota) may be out of scope for a v1 if the organisation has single-stream feeder grades. (3) Slightly assumes the Indian-litigation frame applies to "a leading global organisation" uniformly.</w:t>
      </w:r>
    </w:p>
    <w:p>
      <w:r>
        <w:rPr>
          <w:b/>
        </w:rPr>
        <w:t>Reviewer 3 on C (First Principles):</w:t>
      </w:r>
    </w:p>
    <w:p>
      <w:r>
        <w:t xml:space="preserve">(1) Strongest: the "atomic unit is the (employee, grade, crucial-date) eligibility fact" reframe is powerful and would eliminate the duplicated </w:t>
      </w:r>
      <w:r>
        <w:rPr>
          <w:rFonts w:ascii="Consolas" w:hAnsi="Consolas"/>
          <w:sz w:val="20"/>
        </w:rPr>
        <w:t>QualifyingServiceCalculator</w:t>
      </w:r>
      <w:r>
        <w:t xml:space="preserve"> instances; the append-only-with-correction-lineage insight directly answers B's retrospective-cascade gap. (2) Biggest blind spot: under-credits how much the BRD *already* does (eligibility freeze, JSONB snapshot) — the gap is consolidation, not absence. (3) Offers architecture but no migration path from the current 24-entity model.</w:t>
      </w:r>
    </w:p>
    <w:p>
      <w:r>
        <w:rPr>
          <w:b/>
        </w:rPr>
        <w:t>Reviewer 4 on D (Outsider):</w:t>
      </w:r>
    </w:p>
    <w:p>
      <w:r>
        <w:t>(1) Strongest: the "three different reckoning dates" confusion is a real implementation hazard that even domain experts trip on, and forcing one reference box is cheap and high-value. (2) Biggest blind spot: D flags "configurable = deferred algorithm" but doesn't connect it to C's point that only four kernels actually need pinning — D treats all "configurable" equally. (3) The succession-scope question is raised but not resolved.</w:t>
      </w:r>
    </w:p>
    <w:p>
      <w:r>
        <w:rPr>
          <w:b/>
        </w:rPr>
        <w:t>Reviewer 5 on E (Executor):</w:t>
      </w:r>
    </w:p>
    <w:p>
      <w:r>
        <w:t xml:space="preserve">(1) Strongest: catching that </w:t>
      </w:r>
      <w:r>
        <w:rPr>
          <w:rFonts w:ascii="Consolas" w:hAnsi="Consolas"/>
          <w:sz w:val="20"/>
        </w:rPr>
        <w:t>vacancy_count</w:t>
      </w:r>
      <w:r>
        <w:t xml:space="preserve"> and "sanctioned/vacant post" validate against an entity *that does not exist* — a concrete, structural hole, not a refinement. The M09 event-vs-poll dependency for sealed cover is also a real schedule risk. (2) Biggest blind spot: E flags increment/M10 overlap but doesn't note the parallel overlap of MACP "pay event" ownership or the stepping-up pay-anomaly flow. (3) Doesn't address data-migration risk for legacy seniority where stream/quota history is lost.</w:t>
      </w:r>
    </w:p>
    <w:p>
      <w:r>
        <w:rPr>
          <w:b/>
        </w:rPr>
        <w:t>What ALL FIVE missed (genuine, surfaced in peer review):</w:t>
      </w:r>
    </w:p>
    <w:p>
      <w:pPr>
        <w:pStyle w:val="ListBullet"/>
      </w:pPr>
      <w:r>
        <w:rPr>
          <w:b/>
        </w:rPr>
        <w:t>No `sanctioned_posts` / establishment / vacancy-computation entity.</w:t>
      </w:r>
      <w:r>
        <w:t xml:space="preserve"> (E touched the symptom but even E framed it as "validate against a parameter," not "the cadre-strength register is a missing first-class entity that vacancy split between DR-quota and promotion-quota, anticipated vacancies, and post-based rosters all depend on.") Four FRs silently assume it.</w:t>
      </w:r>
    </w:p>
    <w:p>
      <w:pPr>
        <w:pStyle w:val="ListBullet"/>
      </w:pPr>
      <w:r>
        <w:rPr>
          <w:b/>
        </w:rPr>
        <w:t>Refusal-of-promotion consequences are unmodelled.</w:t>
      </w:r>
      <w:r>
        <w:t xml:space="preserve"> </w:t>
      </w:r>
      <w:r>
        <w:rPr>
          <w:rFonts w:ascii="Consolas" w:hAnsi="Consolas"/>
          <w:sz w:val="20"/>
        </w:rPr>
        <w:t>acceptance_status=DECLINED</w:t>
      </w:r>
      <w:r>
        <w:t xml:space="preserve"> is captured but the *downstream rule* — refusal debars for one year and </w:t>
      </w:r>
      <w:r>
        <w:rPr>
          <w:b/>
        </w:rPr>
        <w:t>stops the MACP clock / forfeits the next MACP</w:t>
      </w:r>
      <w:r>
        <w:t xml:space="preserve"> per policy — is never wired between FR-007 and FR-011. A declined order should propagate a consequence, not just inform the reserve list.</w:t>
      </w:r>
    </w:p>
    <w:p>
      <w:pPr>
        <w:pStyle w:val="ListBullet"/>
      </w:pPr>
      <w:r>
        <w:rPr>
          <w:b/>
        </w:rPr>
        <w:t>DPDP/privacy on the most sensitive joins.</w:t>
      </w:r>
      <w:r>
        <w:t xml:space="preserve"> All five praised or critiqued features; none flagged that </w:t>
      </w:r>
      <w:r>
        <w:rPr>
          <w:b/>
        </w:rPr>
        <w:t>APAR grades + disciplinary status + reservation category</w:t>
      </w:r>
      <w:r>
        <w:t xml:space="preserve"> are now co-located in </w:t>
      </w:r>
      <w:r>
        <w:rPr>
          <w:rFonts w:ascii="Consolas" w:hAnsi="Consolas"/>
          <w:sz w:val="20"/>
        </w:rPr>
        <w:t>eligibility_assessments</w:t>
      </w:r>
      <w:r>
        <w:t xml:space="preserve"> (incl. </w:t>
      </w:r>
      <w:r>
        <w:rPr>
          <w:rFonts w:ascii="Consolas" w:hAnsi="Consolas"/>
          <w:sz w:val="20"/>
        </w:rPr>
        <w:t>apar_detail_json</w:t>
      </w:r>
      <w:r>
        <w:t>) — the single most sensitive PII concentration in the suite — yet §10 only mentions "category masking." Purpose-limitation, field-level access, and retention of the APAR snapshot specifically are unaddressed.</w:t>
      </w:r>
    </w:p>
    <w:p>
      <w:pPr>
        <w:pStyle w:val="ListBullet"/>
      </w:pPr>
      <w:r>
        <w:rPr>
          <w:b/>
        </w:rPr>
        <w:t>Panel/select-list "currency."</w:t>
      </w:r>
      <w:r>
        <w:t xml:space="preserve"> A DPC select panel has a </w:t>
      </w:r>
      <w:r>
        <w:rPr>
          <w:b/>
        </w:rPr>
        <w:t>validity period</w:t>
      </w:r>
      <w:r>
        <w:t xml:space="preserve"> (typically one year / until next panel); promotions from an expired panel are illegal. No entity field expresses panel currency or its expiry.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spine is world-class</w:t>
      </w:r>
      <w:r>
        <w:t xml:space="preserve"> and should be preserved (A, all reviewers).</w:t>
      </w:r>
    </w:p>
    <w:p>
      <w:pPr>
        <w:pStyle w:val="ListBullet"/>
      </w:pPr>
      <w:r>
        <w:t xml:space="preserve">The </w:t>
      </w:r>
      <w:r>
        <w:rPr>
          <w:b/>
        </w:rPr>
        <w:t>rule kernels — multi-stream seniority, reservation roster, qualifying-service, zone formula — are the real risk and are the thinnest FRs</w:t>
      </w:r>
      <w:r>
        <w:t xml:space="preserve"> (B, C, D, E converge).</w:t>
      </w:r>
    </w:p>
    <w:p>
      <w:pPr>
        <w:pStyle w:val="ListBullet"/>
      </w:pPr>
      <w:r>
        <w:rPr>
          <w:b/>
        </w:rPr>
        <w:t>"Configurable" is masking unspecified algorithms</w:t>
      </w:r>
      <w:r>
        <w:t xml:space="preserve"> that must be pinned to worked examples (C, D, E).</w:t>
      </w:r>
    </w:p>
    <w:p>
      <w:pPr>
        <w:pStyle w:val="ListBullet"/>
      </w:pPr>
      <w:r>
        <w:t xml:space="preserve">A </w:t>
      </w:r>
      <w:r>
        <w:rPr>
          <w:b/>
        </w:rPr>
        <w:t>missing vacancy/sanctioned-strength entity</w:t>
      </w:r>
      <w:r>
        <w:t xml:space="preserve"> is a structural hole (E + peer review).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Scope of the talent/succession layer (FR-014):</w:t>
      </w:r>
      <w:r>
        <w:t xml:space="preserve"> A values it as best-in-class; D and C see it as a different product diluting focus. *Not fundamental* — resolved by keeping it but marking it explicitly advisory/optional and lighter than the kernels.</w:t>
      </w:r>
    </w:p>
    <w:p>
      <w:pPr>
        <w:pStyle w:val="ListBullet"/>
      </w:pPr>
      <w:r>
        <w:rPr>
          <w:b/>
        </w:rPr>
        <w:t>FUNDAMENTAL clash — terminality of records:</w:t>
      </w:r>
      <w:r>
        <w:t xml:space="preserve"> A's "FINALISED/EFFECTED = ship-ready endpoints" vs B+C's "records must be append-only with judicial-correction lineage." This changes the data model and is resolved below.</w:t>
      </w:r>
    </w:p>
    <w:p>
      <w:pPr>
        <w:pStyle w:val="Heading3"/>
      </w:pPr>
      <w:r>
        <w:rPr>
          <w:b/>
          <w:color w:val="2E5B9E"/>
          <w:sz w:val="26"/>
        </w:rPr>
        <w:t>3.3 Blind spots (council-level)</w:t>
      </w:r>
    </w:p>
    <w:p>
      <w:pPr>
        <w:pStyle w:val="ListBullet"/>
      </w:pPr>
      <w:r>
        <w:t>Own-merit migration; APAR-communication gate; court/tribunal linkage; refusal-of-promotion consequence; panel currency; PII concentration of the eligibility snapshot; retrospective cascade ownership.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BRD evolves from *"a clean linear statutory promotion pipeline"* to *"a defensible, correctable record of upward movement, anchored on a single versioned service-fact ledger, gated by communication/constitutional pre-conditions, and aware that any node may be reopened by a court."* Same spine; harder edges pinned; correction-lineage added.</w:t>
      </w:r>
    </w:p>
    <w:p>
      <w:pPr>
        <w:pStyle w:val="Heading3"/>
      </w:pPr>
      <w:r>
        <w:rPr>
          <w:b/>
          <w:color w:val="2E5B9E"/>
          <w:sz w:val="26"/>
        </w:rPr>
        <w:t>3.5 Focused second pass — the fundamental clash (terminality vs correctability)</w:t>
      </w:r>
    </w:p>
    <w:p>
      <w:r>
        <w:rPr>
          <w:b/>
        </w:rPr>
        <w:t>Resolution:</w:t>
      </w:r>
      <w:r>
        <w:t xml:space="preserve"> Adopt B/C's append-with-lineage model </w:t>
      </w:r>
      <w:r>
        <w:rPr>
          <w:b/>
        </w:rPr>
        <w:t>without</w:t>
      </w:r>
      <w:r>
        <w:t xml:space="preserve"> a rewrite. Concretely: (a) keep </w:t>
      </w:r>
      <w:r>
        <w:rPr>
          <w:rFonts w:ascii="Consolas" w:hAnsi="Consolas"/>
          <w:sz w:val="20"/>
        </w:rPr>
        <w:t>FINALISED</w:t>
      </w:r>
      <w:r>
        <w:t>/</w:t>
      </w:r>
      <w:r>
        <w:rPr>
          <w:rFonts w:ascii="Consolas" w:hAnsi="Consolas"/>
          <w:sz w:val="20"/>
        </w:rPr>
        <w:t>EFFECTED</w:t>
      </w:r>
      <w:r>
        <w:t xml:space="preserve"> as the *current authoritative* state; (b) add a lightweight </w:t>
      </w:r>
      <w:r>
        <w:rPr>
          <w:b/>
        </w:rPr>
        <w:t>`correction_events`</w:t>
      </w:r>
      <w:r>
        <w:t xml:space="preserve"> concept (or extend supersession) that records *why* a finalised list/effected order was reopened (objection-upheld vs </w:t>
      </w:r>
      <w:r>
        <w:rPr>
          <w:b/>
        </w:rPr>
        <w:t>court/tribunal order</w:t>
      </w:r>
      <w:r>
        <w:t xml:space="preserve"> vs administrative error), links the triggering litigation reference, and </w:t>
      </w:r>
      <w:r>
        <w:rPr>
          <w:b/>
        </w:rPr>
        <w:t>emits a recompute/cascade job</w:t>
      </w:r>
      <w:r>
        <w:t xml:space="preserve"> that re-ranks affected seniority and flags pay-anomaly stepping-up to M10. This satisfies A (no spine rewrite, existing SUPERSEDED states reused) and B/C (truthful propagation, judicial reopening representable). The eligibility-fact consolidation (single </w:t>
      </w:r>
      <w:r>
        <w:rPr>
          <w:rFonts w:ascii="Consolas" w:hAnsi="Consolas"/>
          <w:sz w:val="20"/>
        </w:rPr>
        <w:t>QualifyingServiceLedger</w:t>
      </w:r>
      <w:r>
        <w:t>) is the enabling refactor and should be locked as a shared contract alongside the existing four.</w:t>
      </w:r>
    </w:p>
    <w:p>
      <w:pPr>
        <w:pStyle w:val="Heading3"/>
      </w:pPr>
      <w:r>
        <w:rPr>
          <w:b/>
          <w:color w:val="2E5B9E"/>
          <w:sz w:val="26"/>
        </w:rPr>
        <w:t>3.6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Own-merit reserved candidate not migrated to UR point → roster over-counts reservation, batch struck 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migration rule + </w:t>
            </w:r>
            <w:r>
              <w:rPr>
                <w:rFonts w:ascii="Consolas" w:hAnsi="Consolas"/>
                <w:sz w:val="18"/>
              </w:rPr>
              <w:t>adjusted_against_category</w:t>
            </w:r>
            <w:r>
              <w:rPr>
                <w:sz w:val="18"/>
              </w:rPr>
              <w:t xml:space="preserve"> on roster fill; compliance report shows own-merit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DPC relies on uncommunicated below-benchmark/adverse APAR → order voidable (</w:t>
            </w:r>
            <w:r>
              <w:rPr>
                <w:rFonts w:ascii="Consolas" w:hAnsi="Consolas"/>
                <w:sz w:val="18"/>
              </w:rPr>
              <w:t>Dev Dutt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apar_communicated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representation_status</w:t>
            </w:r>
            <w:r>
              <w:rPr>
                <w:sz w:val="18"/>
              </w:rPr>
              <w:t xml:space="preserve"> gate in FR-003; block use of uncommunicated adverse entry; expose in eligibility trace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sanctioned_posts</w:t>
            </w:r>
            <w:r>
              <w:rPr>
                <w:sz w:val="18"/>
              </w:rPr>
              <w:t>/establishment entity; vacancy &amp; "vacant post" validate against nothing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+ peer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Introduce establishment/sanctioned-strength entity; vacancy computation (DR vs promotion quota, anticipated, carry-forward); FR-012 validates against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Multi-stream inter-se seniority (DR/promotee/LDCE, rota-quota) unmodelled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stream/quota tags + combined-seniority construction (scope to org's actual recruitment model; may phase)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court/tribunal linkage; orders issued "subject to OA outcome", stays, contempt unrepresentable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legal_case_links</w:t>
            </w:r>
            <w:r>
              <w:rPr>
                <w:sz w:val="18"/>
              </w:rPr>
              <w:t xml:space="preserve"> entity attachable to case/order/list; </w:t>
            </w:r>
            <w:r>
              <w:rPr>
                <w:rFonts w:ascii="Consolas" w:hAnsi="Consolas"/>
                <w:sz w:val="18"/>
              </w:rPr>
              <w:t>subject_to_litigation</w:t>
            </w:r>
            <w:r>
              <w:rPr>
                <w:sz w:val="18"/>
              </w:rPr>
              <w:t xml:space="preserve"> flag; interim-stay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Retrospective promotion cascade (re-rank + pay stepping-up) has no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correction-lineage + recompute job (see §3.5); stepping-up/pay-anomaly flag to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Reservation-in-promotion lacks Nagaraj/Jarnail quantifiable-data justification &amp; consequential-seniority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 enabling-provision/justification record per roster; model consequential seniority vs catch-up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Refusal of promotion has no downstream consequence (debarment, MACP clock)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Wire DECLINED → debarment window + MACP-clock effect between FR-007 and FR-011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Eligibility/zone/roster/qualifying-service "configurable" but algorithm unspecified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C, D,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input/formula/worked-example for each of the four kernels; ship test vectors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PII concentration: APAR + disciplinary + category co-located in eligibility_assessments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access, purpose-limitation, explicit retention for APAR snapshot, DPDP DPIA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Qualifying-service exclusions (EOL, dies-non, ad-hoc vs regular, deputation) not modelled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Service-exclusion rule set feeding the single qualifying-service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Three reckoning dates (as-on/crucial/panel/effective/notional) conflatable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"Reckoning Dates" reference box with relationships + worked 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DPC select-panel currency/expiry not modelled → promotion from stale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panel_valid_until</w:t>
            </w:r>
            <w:r>
              <w:rPr>
                <w:sz w:val="18"/>
              </w:rPr>
              <w:t>; block orders after expiry without re-validation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MACP cap rule mis-stated (</w:t>
            </w:r>
            <w:r>
              <w:rPr>
                <w:rFonts w:ascii="Consolas" w:hAnsi="Consolas"/>
                <w:sz w:val="18"/>
              </w:rPr>
              <w:t>promotions + macp ≤ 3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(correctness)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Restate: MACP grants ≤ 3 *financial upgradations* total; regular promotions reduce remaining MACP, they do not breach a combined 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Increment monitoring overlaps M10 (dual source of truth)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 ownership; if M06 monitors, M10 remains executor of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LDCE / departmental-exam promotion channel &amp; exam-result integration absent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LDCE to promotion_mode + exam-result gate in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Single-post cadre / posts where roster doesn't apply not handled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Roster-applicability exemption flag per 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Succession/career-path layer may be scope creep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vs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but mark advisory/optional, lighter than kernels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Conditional GO.</w:t>
      </w:r>
      <w:r>
        <w:t xml:space="preserve"> The BRD's spine, state machines, SR-posting discipline, sealed-cover handling, and parallel-agent plan are strong enough to start the spine immediately (WP-A/B). </w:t>
      </w:r>
      <w:r>
        <w:rPr>
          <w:b/>
        </w:rPr>
        <w:t>Do not start the rule-kernel work packages (eligibility, zone, roster) until</w:t>
      </w:r>
      <w:r>
        <w:t xml:space="preserve"> the four kernels are pinned to worked examples and the missing structural pieces (sanctioned-posts entity, APAR-communication gate, own-merit migration, legal-case linkage, correction-lineage) are added in a v2 pass. These are additive, not a rewrite — the spine survives intact. Re-baseline §15.4 "shared contracts to lock" to include the </w:t>
      </w:r>
      <w:r>
        <w:rPr>
          <w:rFonts w:ascii="Consolas" w:hAnsi="Consolas"/>
          <w:sz w:val="20"/>
        </w:rPr>
        <w:t>QualifyingServiceLedger</w:t>
      </w:r>
      <w:r>
        <w:t xml:space="preserve"> and the establishment/vacancy contract.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rPr>
          <w:b/>
        </w:rPr>
        <w:t>Before any rule-engine code, write and pin the four kernel algorithms (multi-stream seniority construction, reservation-roster mathematics *including own-merit migration*, qualifying-service exclusions, zone-of-consideration formula) as precise specs with worked numeric test vectors — and introduce the missing `sanctioned_posts`/establishment entity they all depend on.</w:t>
      </w:r>
      <w:r>
        <w:t xml:space="preserve"> Everything litigation-bearing flows through these four; pinning them converts the BRD's biggest "configurable" hand-waves into buildable, testable, defensible logic.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a `sanctioned_posts` / establishment-strength entity</w:t>
      </w:r>
      <w:r>
        <w:t xml:space="preserve"> (sanctioned strength, filled/vacant, DR-quota vs promotion-quota split, anticipated &amp; carried-forward vacancies). Replace the free-integer </w:t>
      </w:r>
      <w:r>
        <w:rPr>
          <w:rFonts w:ascii="Consolas" w:hAnsi="Consolas"/>
          <w:sz w:val="20"/>
        </w:rPr>
        <w:t>vacancy_count</w:t>
      </w:r>
      <w:r>
        <w:t xml:space="preserve"> with a computed/validated value sourced from it; FR-012 posting validates "sanctioned/vacant post" against it.</w:t>
      </w:r>
    </w:p>
    <w:p>
      <w:pPr>
        <w:pStyle w:val="ListNumber"/>
      </w:pPr>
      <w:r>
        <w:rPr>
          <w:b/>
        </w:rPr>
        <w:t>Add an APAR-usability gate to FR-003 (`eligibility_assessments`):</w:t>
      </w:r>
      <w:r>
        <w:t xml:space="preserve"> new fields </w:t>
      </w:r>
      <w:r>
        <w:rPr>
          <w:rFonts w:ascii="Consolas" w:hAnsi="Consolas"/>
          <w:sz w:val="20"/>
        </w:rPr>
        <w:t>apar_communicated</w:t>
      </w:r>
      <w:r>
        <w:t xml:space="preserve">, </w:t>
      </w:r>
      <w:r>
        <w:rPr>
          <w:rFonts w:ascii="Consolas" w:hAnsi="Consolas"/>
          <w:sz w:val="20"/>
        </w:rPr>
        <w:t>apar_representation_status</w:t>
      </w:r>
      <w:r>
        <w:t xml:space="preserve">, and a rule that an uncommunicated below-benchmark/adverse APAR entry </w:t>
      </w:r>
      <w:r>
        <w:rPr>
          <w:b/>
        </w:rPr>
        <w:t>cannot be relied upon</w:t>
      </w:r>
      <w:r>
        <w:t xml:space="preserve"> by the DPC (Dev Dutt principle). Surface in the eligibility rule-trace.</w:t>
      </w:r>
    </w:p>
    <w:p>
      <w:pPr>
        <w:pStyle w:val="ListNumber"/>
      </w:pPr>
      <w:r>
        <w:rPr>
          <w:b/>
        </w:rPr>
        <w:t>Add own-merit reserved-candidate migration to FR-006 roster:</w:t>
      </w:r>
      <w:r>
        <w:t xml:space="preserve"> field </w:t>
      </w:r>
      <w:r>
        <w:rPr>
          <w:rFonts w:ascii="Consolas" w:hAnsi="Consolas"/>
          <w:sz w:val="20"/>
        </w:rPr>
        <w:t>adjusted_against_category</w:t>
      </w:r>
      <w:r>
        <w:t xml:space="preserve"> on the fill; a reserved candidate selected on own merit is counted against an </w:t>
      </w:r>
      <w:r>
        <w:rPr>
          <w:b/>
        </w:rPr>
        <w:t>unreserved</w:t>
      </w:r>
      <w:r>
        <w:t xml:space="preserve"> point, not a reserved one; compliance report itemises migrations and recomputes category tallies accordingly.</w:t>
      </w:r>
    </w:p>
    <w:p>
      <w:pPr>
        <w:pStyle w:val="ListNumber"/>
      </w:pPr>
      <w:r>
        <w:rPr>
          <w:b/>
        </w:rPr>
        <w:t>Introduce multi-stream / inter-se seniority support:</w:t>
      </w:r>
      <w:r>
        <w:t xml:space="preserve"> add </w:t>
      </w:r>
      <w:r>
        <w:rPr>
          <w:rFonts w:ascii="Consolas" w:hAnsi="Consolas"/>
          <w:sz w:val="20"/>
        </w:rPr>
        <w:t>recruitment_stream</w:t>
      </w:r>
      <w:r>
        <w:t xml:space="preserve"> (DIRECT, PROMOTEE, LDCE, DEPUTATION_ABSORPTION) and quota/rotation metadata to </w:t>
      </w:r>
      <w:r>
        <w:rPr>
          <w:rFonts w:ascii="Consolas" w:hAnsi="Consolas"/>
          <w:sz w:val="20"/>
        </w:rPr>
        <w:t>seniority_entries</w:t>
      </w:r>
      <w:r>
        <w:t>; specify combined-seniority construction (rota-quota / rotation of vacancies). Scope to the organisation's actual recruitment model; may be phased, but the data model must not preclude it.</w:t>
      </w:r>
    </w:p>
    <w:p>
      <w:pPr>
        <w:pStyle w:val="ListNumber"/>
      </w:pPr>
      <w:r>
        <w:rPr>
          <w:b/>
        </w:rPr>
        <w:t>Add a `legal_case_links` entity</w:t>
      </w:r>
      <w:r>
        <w:t xml:space="preserve"> attachable to </w:t>
      </w:r>
      <w:r>
        <w:rPr>
          <w:rFonts w:ascii="Consolas" w:hAnsi="Consolas"/>
          <w:sz w:val="20"/>
        </w:rPr>
        <w:t>promotion_cases</w:t>
      </w:r>
      <w:r>
        <w:t xml:space="preserve">, </w:t>
      </w:r>
      <w:r>
        <w:rPr>
          <w:rFonts w:ascii="Consolas" w:hAnsi="Consolas"/>
          <w:sz w:val="20"/>
        </w:rPr>
        <w:t>promotion_orders</w:t>
      </w:r>
      <w:r>
        <w:t xml:space="preserve">, and </w:t>
      </w:r>
      <w:r>
        <w:rPr>
          <w:rFonts w:ascii="Consolas" w:hAnsi="Consolas"/>
          <w:sz w:val="20"/>
        </w:rPr>
        <w:t>seniority_lists</w:t>
      </w:r>
      <w:r>
        <w:t xml:space="preserve"> (court/tribunal reference, OA/SLP no., interim-stay flag, status). Add a </w:t>
      </w:r>
      <w:r>
        <w:rPr>
          <w:rFonts w:ascii="Consolas" w:hAnsi="Consolas"/>
          <w:sz w:val="20"/>
        </w:rPr>
        <w:t>subject_to_litigation</w:t>
      </w:r>
      <w:r>
        <w:t xml:space="preserve"> flag and an </w:t>
      </w:r>
      <w:r>
        <w:rPr>
          <w:rFonts w:ascii="Consolas" w:hAnsi="Consolas"/>
          <w:sz w:val="20"/>
        </w:rPr>
        <w:t>INTERIM_STAYED</w:t>
      </w:r>
      <w:r>
        <w:t xml:space="preserve"> consideration in relevant state machines; orders can be issued "subject to outcome."</w:t>
      </w:r>
    </w:p>
    <w:p>
      <w:pPr>
        <w:pStyle w:val="ListNumber"/>
      </w:pPr>
      <w:r>
        <w:rPr>
          <w:b/>
        </w:rPr>
        <w:t>Add a correction-lineage / recompute mechanism</w:t>
      </w:r>
      <w:r>
        <w:t xml:space="preserve"> (extend supersession): a </w:t>
      </w:r>
      <w:r>
        <w:rPr>
          <w:rFonts w:ascii="Consolas" w:hAnsi="Consolas"/>
          <w:sz w:val="20"/>
        </w:rPr>
        <w:t>correction_event</w:t>
      </w:r>
      <w:r>
        <w:t xml:space="preserve"> records the reason class (OBJECTION_UPHELD, COURT_ORDER, ADMIN_ERROR), links the trigger, and </w:t>
      </w:r>
      <w:r>
        <w:rPr>
          <w:b/>
        </w:rPr>
        <w:t>emits a cascade job</w:t>
      </w:r>
      <w:r>
        <w:t xml:space="preserve"> that re-ranks affected seniority entries and downstream candidates — making retrospective promotion truthfully propagate.</w:t>
      </w:r>
    </w:p>
    <w:p>
      <w:pPr>
        <w:pStyle w:val="ListNumber"/>
      </w:pPr>
      <w:r>
        <w:rPr>
          <w:b/>
        </w:rPr>
        <w:t>Wire stepping-up / pay-anomaly flow to M10:</w:t>
      </w:r>
      <w:r>
        <w:t xml:space="preserve"> when a retrospective/notional promotion causes a junior to draw more than a senior, M06 raises a stepping-up/pay-anomaly signal to M10 (it does not compute pay, but it must detect and flag the anomaly).</w:t>
      </w:r>
    </w:p>
    <w:p>
      <w:pPr>
        <w:pStyle w:val="ListNumber"/>
      </w:pPr>
      <w:r>
        <w:rPr>
          <w:b/>
        </w:rPr>
        <w:t>Consolidate qualifying-service computation into one versioned `QualifyingServiceLedger`</w:t>
      </w:r>
      <w:r>
        <w:t xml:space="preserve"> (single source, snapshotted, citable), reused by FR-003/011/013/014 instead of separate calculators. Lock it as a fifth shared contract in §15.4.</w:t>
      </w:r>
    </w:p>
    <w:p>
      <w:pPr>
        <w:pStyle w:val="ListNumber"/>
      </w:pPr>
      <w:r>
        <w:rPr>
          <w:b/>
        </w:rPr>
        <w:t>Specify qualifying-service exclusion rules</w:t>
      </w:r>
      <w:r>
        <w:t xml:space="preserve"> as configurable-but-pinned logic: EOL, dies-non, suspension/break-in-service, ad-hoc vs regular service counting, deputation period — each with a worked example. No more single </w:t>
      </w:r>
      <w:r>
        <w:rPr>
          <w:rFonts w:ascii="Consolas" w:hAnsi="Consolas"/>
          <w:sz w:val="20"/>
        </w:rPr>
        <w:t>min_qualifying_service_years</w:t>
      </w:r>
      <w:r>
        <w:t xml:space="preserve"> with a vague "broken-service deduction."</w:t>
      </w:r>
    </w:p>
    <w:p>
      <w:pPr>
        <w:pStyle w:val="ListNumber"/>
      </w:pPr>
      <w:r>
        <w:rPr>
          <w:b/>
        </w:rPr>
        <w:t>Pin the four rule kernels to worked numeric examples + test vectors</w:t>
      </w:r>
      <w:r>
        <w:t xml:space="preserve"> in the BRD: (a) zone-of-consideration formula (the non-linear DoPT slab, not just a flat multiplier), (b) reservation-roster mathematics (post-based vs vacancy-based, carry-forward, de-reservation limit, 50% ceiling, PwBD horizontal), (c) qualifying-service exclusions, (d) multi-stream seniority. Ship before kernel code.</w:t>
      </w:r>
    </w:p>
    <w:p>
      <w:pPr>
        <w:pStyle w:val="ListNumber"/>
      </w:pPr>
      <w:r>
        <w:rPr>
          <w:b/>
        </w:rPr>
        <w:t>Model DPC select-panel currency:</w:t>
      </w:r>
      <w:r>
        <w:t xml:space="preserve"> add </w:t>
      </w:r>
      <w:r>
        <w:rPr>
          <w:rFonts w:ascii="Consolas" w:hAnsi="Consolas"/>
          <w:sz w:val="20"/>
        </w:rPr>
        <w:t>panel_valid_until</w:t>
      </w:r>
      <w:r>
        <w:t xml:space="preserve"> / </w:t>
      </w:r>
      <w:r>
        <w:rPr>
          <w:rFonts w:ascii="Consolas" w:hAnsi="Consolas"/>
          <w:sz w:val="20"/>
        </w:rPr>
        <w:t>panel_currency_end</w:t>
      </w:r>
      <w:r>
        <w:t xml:space="preserve"> to </w:t>
      </w:r>
      <w:r>
        <w:rPr>
          <w:rFonts w:ascii="Consolas" w:hAnsi="Consolas"/>
          <w:sz w:val="20"/>
        </w:rPr>
        <w:t>promotion_panels</w:t>
      </w:r>
      <w:r>
        <w:t xml:space="preserve"> or </w:t>
      </w:r>
      <w:r>
        <w:rPr>
          <w:rFonts w:ascii="Consolas" w:hAnsi="Consolas"/>
          <w:sz w:val="20"/>
        </w:rPr>
        <w:t>dpc_proceedings</w:t>
      </w:r>
      <w:r>
        <w:t>; block order generation from an expired panel without re-validation. Add supplementary/residual/review-DPC support for missed candidates.</w:t>
      </w:r>
    </w:p>
    <w:p>
      <w:pPr>
        <w:pStyle w:val="ListNumber"/>
      </w:pPr>
      <w:r>
        <w:rPr>
          <w:b/>
        </w:rPr>
        <w:t>Wire refusal-of-promotion consequences:</w:t>
      </w:r>
      <w:r>
        <w:t xml:space="preserve"> </w:t>
      </w:r>
      <w:r>
        <w:rPr>
          <w:rFonts w:ascii="Consolas" w:hAnsi="Consolas"/>
          <w:sz w:val="20"/>
        </w:rPr>
        <w:t>acceptance_status=DECLINED</w:t>
      </w:r>
      <w:r>
        <w:t xml:space="preserve"> triggers a configurable debarment window and a defined effect on the MACP clock (forfeiture/stop), propagated from FR-007 to FR-011 — not merely a reserve-list note.</w:t>
      </w:r>
    </w:p>
    <w:p>
      <w:pPr>
        <w:pStyle w:val="ListNumber"/>
      </w:pPr>
      <w:r>
        <w:rPr>
          <w:b/>
        </w:rPr>
        <w:t>Correct the MACP-cap integrity rule (§5.6 rule 10):</w:t>
      </w:r>
      <w:r>
        <w:t xml:space="preserve"> restate as "at most 3 </w:t>
      </w:r>
      <w:r>
        <w:rPr>
          <w:b/>
        </w:rPr>
        <w:t>financial upgradations</w:t>
      </w:r>
      <w:r>
        <w:t xml:space="preserve"> in the career; regular promotions reduce the remaining MACP entitlement; they do not constitute a combined </w:t>
      </w:r>
      <w:r>
        <w:rPr>
          <w:rFonts w:ascii="Consolas" w:hAnsi="Consolas"/>
          <w:sz w:val="20"/>
        </w:rPr>
        <w:t>promotions + macp ≤ 3</w:t>
      </w:r>
      <w:r>
        <w:t xml:space="preserve"> cap." Add the intervening-promotion clock-reset rule and refusal effect.</w:t>
      </w:r>
    </w:p>
    <w:p>
      <w:pPr>
        <w:pStyle w:val="ListNumber"/>
      </w:pPr>
      <w:r>
        <w:rPr>
          <w:b/>
        </w:rPr>
        <w:t>Add an LDCE / departmental-examination promotion channel:</w:t>
      </w:r>
      <w:r>
        <w:t xml:space="preserve"> extend </w:t>
      </w:r>
      <w:r>
        <w:rPr>
          <w:rFonts w:ascii="Consolas" w:hAnsi="Consolas"/>
          <w:sz w:val="20"/>
        </w:rPr>
        <w:t>promotion_mode</w:t>
      </w:r>
      <w:r>
        <w:t xml:space="preserve"> (and/or </w:t>
      </w:r>
      <w:r>
        <w:rPr>
          <w:rFonts w:ascii="Consolas" w:hAnsi="Consolas"/>
          <w:sz w:val="20"/>
        </w:rPr>
        <w:t>eligibility_rules.channel</w:t>
      </w:r>
      <w:r>
        <w:t xml:space="preserve">) with LDCE; integrate an exam/qualification result gate (replace the single </w:t>
      </w:r>
      <w:r>
        <w:rPr>
          <w:rFonts w:ascii="Consolas" w:hAnsi="Consolas"/>
          <w:sz w:val="20"/>
        </w:rPr>
        <w:t>requires_qualification</w:t>
      </w:r>
      <w:r>
        <w:t xml:space="preserve"> VARCHAR with a structured qualification/exam-result reference).</w:t>
      </w:r>
    </w:p>
    <w:p>
      <w:pPr>
        <w:pStyle w:val="ListNumber"/>
      </w:pPr>
      <w:r>
        <w:rPr>
          <w:b/>
        </w:rPr>
        <w:t>Capture the reservation-in-promotion enabling justification</w:t>
      </w:r>
      <w:r>
        <w:t xml:space="preserve"> per roster (Nagaraj/Jarnail quantifiable-data record, enabling-provision reference) and model </w:t>
      </w:r>
      <w:r>
        <w:rPr>
          <w:b/>
        </w:rPr>
        <w:t>consequential seniority vs catch-up</w:t>
      </w:r>
      <w:r>
        <w:t xml:space="preserve"> treatment for accelerated reserved promotions. Add a roster-applicability exemption flag for single-post cadres / grades where reservation in promotion does not apply.</w:t>
      </w:r>
    </w:p>
    <w:p>
      <w:pPr>
        <w:pStyle w:val="ListNumber"/>
      </w:pPr>
      <w:r>
        <w:rPr>
          <w:b/>
        </w:rPr>
        <w:t>Strengthen DPDP/privacy on the eligibility snapshot:</w:t>
      </w:r>
      <w:r>
        <w:t xml:space="preserve"> field-level access control and purpose-limitation for the APAR + disciplinary + category concentration in </w:t>
      </w:r>
      <w:r>
        <w:rPr>
          <w:rFonts w:ascii="Consolas" w:hAnsi="Consolas"/>
          <w:sz w:val="20"/>
        </w:rPr>
        <w:t>eligibility_assessments</w:t>
      </w:r>
      <w:r>
        <w:t>/</w:t>
      </w:r>
      <w:r>
        <w:rPr>
          <w:rFonts w:ascii="Consolas" w:hAnsi="Consolas"/>
          <w:sz w:val="20"/>
        </w:rPr>
        <w:t>apar_detail_json</w:t>
      </w:r>
      <w:r>
        <w:t xml:space="preserve">; explicit retention rule for the APAR snapshot; add a DPIA note to §10. Add creamy-layer (OBC) / EWS-certificate </w:t>
      </w:r>
      <w:r>
        <w:rPr>
          <w:b/>
        </w:rPr>
        <w:t>currency-as-of-crucial-date</w:t>
      </w:r>
      <w:r>
        <w:t xml:space="preserve"> validation.</w:t>
      </w:r>
    </w:p>
    <w:p>
      <w:pPr>
        <w:pStyle w:val="ListNumber"/>
      </w:pPr>
      <w:r>
        <w:rPr>
          <w:b/>
        </w:rPr>
        <w:t>Add a "Reckoning Dates" reference box</w:t>
      </w:r>
      <w:r>
        <w:t xml:space="preserve"> (one place, §5 or §16) crisply distinguishing </w:t>
      </w:r>
      <w:r>
        <w:rPr>
          <w:rFonts w:ascii="Consolas" w:hAnsi="Consolas"/>
          <w:sz w:val="20"/>
        </w:rPr>
        <w:t>as_on_date</w:t>
      </w:r>
      <w:r>
        <w:t xml:space="preserve"> (seniority), </w:t>
      </w:r>
      <w:r>
        <w:rPr>
          <w:rFonts w:ascii="Consolas" w:hAnsi="Consolas"/>
          <w:sz w:val="20"/>
        </w:rPr>
        <w:t>crucial_date</w:t>
      </w:r>
      <w:r>
        <w:t xml:space="preserve"> (eligibility), panel/</w:t>
      </w:r>
      <w:r>
        <w:rPr>
          <w:rFonts w:ascii="Consolas" w:hAnsi="Consolas"/>
          <w:sz w:val="20"/>
        </w:rPr>
        <w:t>vacancy_year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, and </w:t>
      </w:r>
      <w:r>
        <w:rPr>
          <w:rFonts w:ascii="Consolas" w:hAnsi="Consolas"/>
          <w:sz w:val="20"/>
        </w:rPr>
        <w:t>notional_date</w:t>
      </w:r>
      <w:r>
        <w:t>, with a worked relationship example — eliminating the most common implementation mis-wiring.</w:t>
      </w:r>
    </w:p>
    <w:p>
      <w:pPr>
        <w:pStyle w:val="ListNumber"/>
      </w:pPr>
      <w:r>
        <w:rPr>
          <w:b/>
        </w:rPr>
        <w:t>Resolve increment-monitoring ownership vs M10:</w:t>
      </w:r>
      <w:r>
        <w:t xml:space="preserve"> declare M06 </w:t>
      </w:r>
      <w:r>
        <w:rPr>
          <w:rFonts w:ascii="Consolas" w:hAnsi="Consolas"/>
          <w:sz w:val="20"/>
        </w:rPr>
        <w:t>increment_monitor</w:t>
      </w:r>
      <w:r>
        <w:t xml:space="preserve"> as a *monitoring/alerting* view with M10 as system-of-record/executor for increments, or move it to M10. Remove the dual-source-of-truth ambiguity before WP-H.</w:t>
      </w:r>
    </w:p>
    <w:p>
      <w:pPr>
        <w:pStyle w:val="ListNumber"/>
      </w:pPr>
      <w:r>
        <w:rPr>
          <w:b/>
        </w:rPr>
        <w:t>Confirm the M09 sealed-cover dependency as an event (not poll)</w:t>
      </w:r>
      <w:r>
        <w:t xml:space="preserve"> in §16.3, with a defined degradation to scheduled reconciliation if M09 offers only status read. Add a sealed-cover maximum-age / mandatory periodic-review SLA (e.g., two-year review) as an explicit rule.</w:t>
      </w:r>
    </w:p>
    <w:p>
      <w:pPr>
        <w:pStyle w:val="ListNumber"/>
      </w:pPr>
      <w:r>
        <w:rPr>
          <w:b/>
        </w:rPr>
        <w:t>Add missing terminal/edge states:</w:t>
      </w:r>
      <w:r>
        <w:t xml:space="preserve"> </w:t>
      </w:r>
      <w:r>
        <w:rPr>
          <w:rFonts w:ascii="Consolas" w:hAnsi="Consolas"/>
          <w:sz w:val="20"/>
        </w:rPr>
        <w:t>promotion_postings</w:t>
      </w:r>
      <w:r>
        <w:t xml:space="preserve"> needs a </w:t>
      </w:r>
      <w:r>
        <w:rPr>
          <w:rFonts w:ascii="Consolas" w:hAnsi="Consolas"/>
          <w:sz w:val="20"/>
        </w:rPr>
        <w:t>NOT_JOINED</w:t>
      </w:r>
      <w:r>
        <w:t xml:space="preserve">/forfeited state with consequence; sealed cover needs a </w:t>
      </w:r>
      <w:r>
        <w:rPr>
          <w:rFonts w:ascii="Consolas" w:hAnsi="Consolas"/>
          <w:sz w:val="20"/>
        </w:rPr>
        <w:t>partially-upheld minor-penalty</w:t>
      </w:r>
      <w:r>
        <w:t xml:space="preserve"> decision branch; officiating needs an explicit "superseded by regular DPC incumbent → terminated (not regularised)" path (already noted in prose — promote to state guard).</w:t>
      </w:r>
    </w:p>
    <w:p>
      <w:pPr>
        <w:pStyle w:val="ListNumber"/>
      </w:pPr>
      <w:r>
        <w:rPr>
          <w:b/>
        </w:rPr>
        <w:t>Mark the talent layer (FR-014 succession / career-path / 9-box) explicitly advisory and optional</w:t>
      </w:r>
      <w:r>
        <w:t>, lighter than the statutory kernels, with a note clarifying the boundary against M07 (competencies) and M14 (analytics) so it is not over-built relative to the litigation-bearing core.</w:t>
      </w:r>
    </w:p>
    <w:p>
      <w:r>
        <w:t>*End of council report — M06-PPP BRD v1.0.*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