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Adversarial Idea Evaluator — Council Report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Subject</w:t>
      </w:r>
    </w:p>
    <w:p>
      <w:r>
        <w:rPr>
          <w:b/>
        </w:rPr>
        <w:t>BRD under review:</w:t>
      </w:r>
      <w:r>
        <w:t xml:space="preserve"> </w:t>
      </w:r>
      <w:r>
        <w:rPr>
          <w:rFonts w:ascii="Consolas" w:hAnsi="Consolas"/>
          <w:sz w:val="20"/>
        </w:rPr>
        <w:t>docs/brd/v1/M08-performance-appraisal-management.md</w:t>
      </w:r>
      <w:r>
        <w:t xml:space="preserve"> (M08-PAM, v1.0)</w:t>
      </w:r>
    </w:p>
    <w:p>
      <w:r>
        <w:rPr>
          <w:b/>
        </w:rPr>
        <w:t>Shared context:</w:t>
      </w:r>
      <w:r>
        <w:t xml:space="preserve"> </w:t>
      </w:r>
      <w:r>
        <w:rPr>
          <w:rFonts w:ascii="Consolas" w:hAnsi="Consolas"/>
          <w:sz w:val="20"/>
        </w:rPr>
        <w:t>docs/brd/SHARED_FOUNDATION.md</w:t>
      </w:r>
    </w:p>
    <w:p>
      <w:r>
        <w:rPr>
          <w:b/>
        </w:rPr>
        <w:t>Framed question:</w:t>
      </w:r>
      <w:r>
        <w:t xml:space="preserve"> Is this Performance Appraisal Management BRD complete, correct, and world-class (goal-setting/OKR, APAR multi-tier workflow, ratings, calibration, representation against adverse remarks, feeds to promotion) for a leading global organisation's HRMS with public-sector statutory needs? What is missing, wrong, risky, over-engineered, or below best-in-class, and what concrete changes make it bulletproof?</w:t>
      </w:r>
    </w:p>
    <w:p>
      <w:r>
        <w:rPr>
          <w:b/>
        </w:rPr>
        <w:t>Method:</w:t>
      </w:r>
      <w:r>
        <w:t xml:space="preserve"> 5 independent advisors → anonymous peer review → chairman synthesis → adopted improvements.</w:t>
      </w:r>
    </w:p>
    <w:p>
      <w:pPr>
        <w:pStyle w:val="Heading2"/>
      </w:pPr>
      <w:r>
        <w:rPr>
          <w:b/>
          <w:color w:val="1F3864"/>
          <w:sz w:val="30"/>
        </w:rPr>
        <w:t>1. The Five Advisors</w:t>
      </w:r>
    </w:p>
    <w:p>
      <w:pPr>
        <w:pStyle w:val="Heading3"/>
      </w:pPr>
      <w:r>
        <w:rPr>
          <w:b/>
          <w:color w:val="2E5B9E"/>
          <w:sz w:val="26"/>
        </w:rPr>
        <w:t>Advisor 1 — The Proponent</w:t>
      </w:r>
    </w:p>
    <w:p>
      <w:r>
        <w:t>This is a genuinely strong BRD and, on most axes, ahead of a default Workday/SuccessFactors statutory implementation. Three things deserve credit.</w:t>
      </w:r>
    </w:p>
    <w:p>
      <w:r>
        <w:t xml:space="preserve">First, </w:t>
      </w:r>
      <w:r>
        <w:rPr>
          <w:b/>
        </w:rPr>
        <w:t>confidentiality by construction.</w:t>
      </w:r>
      <w:r>
        <w:t xml:space="preserve"> The tier-aware, server-side field projection (FR-M08-15, Appendix B) is the correct architecture — most government HRMS builds leak APAR content by hiding fields only in the UI. Returning fields as *absent* (not greyed) for unauthorised tiers, plus appending </w:t>
      </w:r>
      <w:r>
        <w:rPr>
          <w:rFonts w:ascii="Consolas" w:hAnsi="Consolas"/>
          <w:sz w:val="20"/>
        </w:rPr>
        <w:t>ACCESS_DENIED</w:t>
      </w:r>
      <w:r>
        <w:t xml:space="preserve"> to an append-only </w:t>
      </w:r>
      <w:r>
        <w:rPr>
          <w:rFonts w:ascii="Consolas" w:hAnsi="Consolas"/>
          <w:sz w:val="20"/>
        </w:rPr>
        <w:t>apar_disclosure_log</w:t>
      </w:r>
      <w:r>
        <w:t>, is exactly how you survive an audit and a confidentiality-breach inquiry.</w:t>
      </w:r>
    </w:p>
    <w:p>
      <w:r>
        <w:t xml:space="preserve">Second, </w:t>
      </w:r>
      <w:r>
        <w:rPr>
          <w:b/>
        </w:rPr>
        <w:t>statutory integrity is modelled, not bolted on.</w:t>
      </w:r>
      <w:r>
        <w:t xml:space="preserve"> Append-only certification, </w:t>
      </w:r>
      <w:r>
        <w:rPr>
          <w:rFonts w:ascii="Consolas" w:hAnsi="Consolas"/>
          <w:sz w:val="20"/>
        </w:rPr>
        <w:t>pre_calibration_grade</w:t>
      </w:r>
      <w:r>
        <w:t xml:space="preserve"> provenance, immutability after FINALISED except through a controlled representation/expunction path, idempotent outbox posting to M12 with corrective-event semantics (FR-M08-14 BR2) rather than destructive edits — this respects that a Service Register entry is a legal record. The separation-of-duties rule (appraisee ∉ {RO, RvO, AA}, all four distinct, enforced at the API layer) is correctly placed below the UI.</w:t>
      </w:r>
    </w:p>
    <w:p>
      <w:r>
        <w:t xml:space="preserve">Third, </w:t>
      </w:r>
      <w:r>
        <w:rPr>
          <w:b/>
        </w:rPr>
        <w:t>it unifies the two worlds the brief demanded.</w:t>
      </w:r>
      <w:r>
        <w:t xml:space="preserve"> Continuous feedback, check-ins, 360, OKR cascading and calibration sit alongside the three-tier APAR, integrity column, pen-picture, disclosure and representation. The grade roll-up is a single pure function reused by RO/RvO/AA (FR-M08-07 AC5) — that kills the classic defect where each tier computes the overall grade differently.</w:t>
      </w:r>
    </w:p>
    <w:p>
      <w:r>
        <w:t>The traceability matrix, state tables, error catalog with module-specific codes, and the parallel-agent wave plan make this buildable by a fleet without drift. The "0 unresolved gaps" reconciliation is earned for the scope it set itself. My only caution to fellow advisors: do not mistake *more statutory edge-cases* for *the BRD being wrong* — the spine is sound; what follows is hardening, not rescue.</w:t>
      </w:r>
    </w:p>
    <w:p>
      <w:pPr>
        <w:pStyle w:val="Heading3"/>
      </w:pPr>
      <w:r>
        <w:rPr>
          <w:b/>
          <w:color w:val="2E5B9E"/>
          <w:sz w:val="26"/>
        </w:rPr>
        <w:t>Advisor 2 — The Contrarian</w:t>
      </w:r>
    </w:p>
    <w:p>
      <w:r>
        <w:t>The spine is sound, which is why the failure modes that remain are the dangerous, non-obvious kind. Five.</w:t>
      </w:r>
    </w:p>
    <w:p>
      <w:r>
        <w:rPr>
          <w:b/>
        </w:rPr>
        <w:t>1. The calibration committee silently overrides the Accepting Authority — and that may be ultra vires.</w:t>
      </w:r>
      <w:r>
        <w:t xml:space="preserve"> In FR-M08-09, certified forms enter calibration and a committee *applies* a new </w:t>
      </w:r>
      <w:r>
        <w:rPr>
          <w:rFonts w:ascii="Consolas" w:hAnsi="Consolas"/>
          <w:sz w:val="20"/>
        </w:rPr>
        <w:t>final_grade</w:t>
      </w:r>
      <w:r>
        <w:t xml:space="preserve"> after the AA has already certified. In a statutory APAR, the Accepting Authority is the final grading authority by service rule. A moderation committee mutating a certified grade is a legal authority problem, not a math problem: the officer can challenge "who downgraded me, under what power?" Calibration must be a *recommendation the competent authority ratifies*, or must run *before* certification. As written, this is the single biggest litigation exposure in the document, and the author treats it as a routine workflow.</w:t>
      </w:r>
    </w:p>
    <w:p>
      <w:r>
        <w:rPr>
          <w:b/>
        </w:rPr>
        <w:t>2. Forced distribution / bell-curve against an absolute statutory scale is gameable and possibly unlawful.</w:t>
      </w:r>
      <w:r>
        <w:t xml:space="preserve"> APAR grading is absolute (an officer earns "Outstanding" on merit), not relative. </w:t>
      </w:r>
      <w:r>
        <w:rPr>
          <w:rFonts w:ascii="Consolas" w:hAnsi="Consolas"/>
          <w:sz w:val="20"/>
        </w:rPr>
        <w:t>FORCED_DISTRIBUTION</w:t>
      </w:r>
      <w:r>
        <w:t xml:space="preserve"> with a </w:t>
      </w:r>
      <w:r>
        <w:rPr>
          <w:rFonts w:ascii="Consolas" w:hAnsi="Consolas"/>
          <w:sz w:val="20"/>
        </w:rPr>
        <w:t>target_distribution</w:t>
      </w:r>
      <w:r>
        <w:t xml:space="preserve"> invites ROs and committees to grade to the curve — the exact bias the analytics claim to detect. Government grading jurisprudence frowns on quota-driven downgrades.</w:t>
      </w:r>
    </w:p>
    <w:p>
      <w:r>
        <w:rPr>
          <w:b/>
        </w:rPr>
        <w:t>3. The author missed the Sealed Cover Procedure.</w:t>
      </w:r>
      <w:r>
        <w:t xml:space="preserve"> When an officer is under charge/disciplinary proceeding (M09) or whose promotion is sub judice, their APAR finalisation and the eligibility feed to M06 must be kept in a *sealed cover* and not acted upon until the proceeding concludes. The BRD has only a vague </w:t>
      </w:r>
      <w:r>
        <w:rPr>
          <w:rFonts w:ascii="Consolas" w:hAnsi="Consolas"/>
          <w:sz w:val="20"/>
        </w:rPr>
        <w:t>hold</w:t>
      </w:r>
      <w:r>
        <w:t xml:space="preserve"> flag (FR-M08-01 BR4) and otherwise feeds M06 freely. This is a hard public-sector requirement and its absence will produce wrong promotion decisions.</w:t>
      </w:r>
    </w:p>
    <w:p>
      <w:r>
        <w:rPr>
          <w:b/>
        </w:rPr>
        <w:t>4. Multi-RO part-period reports don't exist.</w:t>
      </w:r>
      <w:r>
        <w:t xml:space="preserve"> The data model assumes one RO per form (</w:t>
      </w:r>
      <w:r>
        <w:rPr>
          <w:rFonts w:ascii="Consolas" w:hAnsi="Consolas"/>
          <w:sz w:val="20"/>
        </w:rPr>
        <w:t>reporting_officer_id</w:t>
      </w:r>
      <w:r>
        <w:t xml:space="preserve"> singular). In reality an officer often has 2–3 ROs in a year; each writes a part-period report, and a "No Report Certificate" is issued where supervision was under the minimum period (typically 3 months). The whole model cannot represent this.</w:t>
      </w:r>
    </w:p>
    <w:p>
      <w:r>
        <w:rPr>
          <w:b/>
        </w:rPr>
        <w:t>5. Adverse remark built on anonymous 360.</w:t>
      </w:r>
      <w:r>
        <w:t xml:space="preserve"> 360 is "evidence in RO assessment" (FR-M08-11 AC4). If an adverse/below-benchmark remark rests on anonymous peer feedback the officer can never see or rebut, the representation is decided on undisclosed material — a natural-justice defect that gets the whole APAR set aside.</w:t>
      </w:r>
    </w:p>
    <w:p>
      <w:pPr>
        <w:pStyle w:val="Heading3"/>
      </w:pPr>
      <w:r>
        <w:rPr>
          <w:b/>
          <w:color w:val="2E5B9E"/>
          <w:sz w:val="26"/>
        </w:rPr>
        <w:t>Advisor 3 — The First Principles Thinker</w:t>
      </w:r>
    </w:p>
    <w:p>
      <w:r>
        <w:t xml:space="preserve">Strip the document to its load-bearing assumption: </w:t>
      </w:r>
      <w:r>
        <w:rPr>
          <w:b/>
        </w:rPr>
        <w:t>that one artefact — the `appraisal_forms` row — can be simultaneously a continuous-performance container and a statutory adjudicated record.</w:t>
      </w:r>
      <w:r>
        <w:t xml:space="preserve"> These two have opposite physics.</w:t>
      </w:r>
    </w:p>
    <w:p>
      <w:r>
        <w:t xml:space="preserve">Continuous performance management is *open, fluid, employee-owned, cross-cycle*: objectives outlive a year, feedback flows freely, the point is development. The APAR is *closed, adjudicated, hierarchy-owned, confidential, append-only*: the point is a defensible legal grade with due process. The BRD bolts them to the same spine, and the seams show. </w:t>
      </w:r>
      <w:r>
        <w:rPr>
          <w:rFonts w:ascii="Consolas" w:hAnsi="Consolas"/>
          <w:sz w:val="20"/>
        </w:rPr>
        <w:t>goals</w:t>
      </w:r>
      <w:r>
        <w:t xml:space="preserve"> carry </w:t>
      </w:r>
      <w:r>
        <w:rPr>
          <w:rFonts w:ascii="Consolas" w:hAnsi="Consolas"/>
          <w:sz w:val="20"/>
        </w:rPr>
        <w:t>form_id NOT NULL</w:t>
      </w:r>
      <w:r>
        <w:t xml:space="preserve"> (E5) — so an objective cannot exist without an appraisal form, which means OKRs cannot span cycles or precede a cycle. That is continuous PM defeated by statutory data modelling. The right primitive is a goal/objective that lives at *employee × period* and is *snapshotted into* the form at lock — the form references goals, it doesn't own them.</w:t>
      </w:r>
    </w:p>
    <w:p>
      <w:r>
        <w:t xml:space="preserve">The second hidden assumption is that </w:t>
      </w:r>
      <w:r>
        <w:rPr>
          <w:b/>
        </w:rPr>
        <w:t>calibration is a stage of the form's life rather than a separate adjudicative act.</w:t>
      </w:r>
      <w:r>
        <w:t xml:space="preserve"> Putting CALIBRATION between AA_ACCEPTANCE and DISCLOSURE in one linear state machine is what creates Advisor 2's authority problem. First-principles, calibration is a *recommendation engine* whose output is an input to a grading authority — not a state the legal record passes through and emerges re-graded.</w:t>
      </w:r>
    </w:p>
    <w:p>
      <w:r>
        <w:t>Third: the document frames "disclosure" as configurable for favourable APARs (FR-M08-08 BR1: "favourable APARs disclosed per cycle config"). The first principle of modern APAR jurisprudence is the opposite — *the entire report, including every grading, must be communicated to every officer.* Optionality here isn't flexibility; it's a latent non-compliance switch.</w:t>
      </w:r>
    </w:p>
    <w:p>
      <w:r>
        <w:t>The framing question pairs "OKR" and "APAR" as if they compose. They *coexist* but must not *fuse*. The cleanest version of this module has two clearly separated subsystems sharing identity and analytics, with a one-way snapshot bridge. The current design fuses them and will pay for it at every adverse-remark dispute and every "why is my OKR locked to last year's form" complaint.</w:t>
      </w:r>
    </w:p>
    <w:p>
      <w:pPr>
        <w:pStyle w:val="Heading3"/>
      </w:pPr>
      <w:r>
        <w:rPr>
          <w:b/>
          <w:color w:val="2E5B9E"/>
          <w:sz w:val="26"/>
        </w:rPr>
        <w:t>Advisor 4 — The Outsider</w:t>
      </w:r>
    </w:p>
    <w:p>
      <w:r>
        <w:t>I read this as someone who has to *operate* it, not architect it, and three things would stop me cold.</w:t>
      </w:r>
    </w:p>
    <w:p>
      <w:r>
        <w:rPr>
          <w:b/>
        </w:rPr>
        <w:t>The acronym fog is real.</w:t>
      </w:r>
      <w:r>
        <w:t xml:space="preserve"> RO, RvO, AA, APAR, KRA, KPI, OKR, PIP, 360, SR, DPC, benchmark, adverse, expunction, calibration, pen-picture, integrity column — a reporting officer in a district office has to know *which of three near-identical "officer" roles they are* and that they are blocked from acting if they are "any other tier in the same chain." The glossary helps, but the *workbench* must show each user, in plain language, "You are the Reviewing Officer for this report. You may agree or change the grade with a reason." There is no plain-language role-context requirement anywhere in Section 7.</w:t>
      </w:r>
    </w:p>
    <w:p>
      <w:r>
        <w:rPr>
          <w:b/>
        </w:rPr>
        <w:t>"Tier-aware field-level projection with lowest-privilege wins for multi-role callers" is correct and completely invisible to the person it protects.</w:t>
      </w:r>
      <w:r>
        <w:t xml:space="preserve"> A custodian who is also someone's RO will see different fields on different screens with no explanation. The BRD never requires the UI to *tell the user why content is absent* ("hidden until disclosure," "not visible to your tier"). Absent-not-greyed is good security and terrible UX unless paired with an honest reason banner.</w:t>
      </w:r>
    </w:p>
    <w:p>
      <w:r>
        <w:rPr>
          <w:b/>
        </w:rPr>
        <w:t>Hidden complexity the spec waves past:</w:t>
      </w:r>
      <w:r>
        <w:t xml:space="preserve"> "RvO == RO → require alternate (escalation, not silent collapse)" (FR-M08-05 BR3) and "apex officer chain truncates" — for a Secretary-level officer there may be *no* Reviewing or Accepting Authority above them. The rule "all four distinct" then *cannot be satisfied*, and the BRD has no answer. Operationally that means the most senior, most scrutinised officers can't be appraised by the system on day one.</w:t>
      </w:r>
    </w:p>
    <w:p>
      <w:r>
        <w:t>Also: the officer who never clicks "acknowledge." The spec says "deemed-disclosed after a configured period." But a real human will say "I never saw it, so my appeal clock never started." The BRD doesn't say whether the representation window runs from *dispatch* or from *acknowledgement* — and that ambiguity is the first thing a grievance will exploit.</w:t>
      </w:r>
    </w:p>
    <w:p>
      <w:pPr>
        <w:pStyle w:val="Heading3"/>
      </w:pPr>
      <w:r>
        <w:rPr>
          <w:b/>
          <w:color w:val="2E5B9E"/>
          <w:sz w:val="26"/>
        </w:rPr>
        <w:t>Advisor 5 — The Executor</w:t>
      </w:r>
    </w:p>
    <w:p>
      <w:r>
        <w:t>Feasibility-wise this is 18 entities, 16 FRs, five state machines, an outbox, a tier-projection library, a grade engine, and live integrations to M01/M05/M06/M07/M09/M12/M13/M14. That is a year of work for a strong squad, and the wave plan (Section 14.3) is mostly right but front-loads risk badly.</w:t>
      </w:r>
    </w:p>
    <w:p>
      <w:r>
        <w:rPr>
          <w:b/>
        </w:rPr>
        <w:t>Sequencing problem:</w:t>
      </w:r>
      <w:r>
        <w:t xml:space="preserve"> the wave plan builds calibration (W5) and 360/continuous (W2–W3) before it has proven the statutory core end-to-end. The thing that *must* work on day one for a government customer is: configure cycle → goals → self → RO/RvO/AA → disclose → represent → post to SR. Continuous feedback, 360, forced distribution and even calibration are *Phase 2* differentiators. I would feature-flag them (the BRD already lists feature flags in 13.4 — good) and cut them from the first cycle so the pilot department in 13.3 exercises the legally-required path under real deadlines.</w:t>
      </w:r>
    </w:p>
    <w:p>
      <w:r>
        <w:rPr>
          <w:b/>
        </w:rPr>
        <w:t>Monday step:</w:t>
      </w:r>
      <w:r>
        <w:t xml:space="preserve"> lock the grade-derivation contract and the tier-projection contract as standalone libraries with their own test suites *before any FR agent starts* — Section 14.3 says this but it must be a hard gate, because every assessment FR and the analytics FR depend on them; drift here corrupts everything.</w:t>
      </w:r>
    </w:p>
    <w:p>
      <w:r>
        <w:rPr>
          <w:b/>
        </w:rPr>
        <w:t>Dependency landmines I'd raise now:</w:t>
      </w:r>
    </w:p>
    <w:p>
      <w:pPr>
        <w:pStyle w:val="ListBullet"/>
      </w:pPr>
      <w:r>
        <w:t>M09 (disciplinary) is listed as a read boundary but the *sealed-cover* behaviour it implies (Advisor 2) is unspecified — that's a blocking integration, not a nice-to-have.</w:t>
      </w:r>
    </w:p>
    <w:p>
      <w:pPr>
        <w:pStyle w:val="ListBullet"/>
      </w:pPr>
      <w:r>
        <w:t>M06 eligibility feed format is an upsert "by cycle"; the corrective-event path on post-representation grade change is described but the *contract M06 must honour* (re-open a DPC?) is out of scope here and undefined — cross-module risk.</w:t>
      </w:r>
    </w:p>
    <w:p>
      <w:pPr>
        <w:pStyle w:val="ListBullet"/>
      </w:pPr>
      <w:r>
        <w:t>Bulk materialise "10k forms &lt; 2 min async" and calibration over "≥5k forms" need the outbox and the projection guard to be performant on *every read*; tier projection on every field of every APAR at 200k scale is a real latency risk against the P95 &lt; 500ms NFR.</w:t>
      </w:r>
    </w:p>
    <w:p>
      <w:r>
        <w:rPr>
          <w:b/>
        </w:rPr>
        <w:t>Estimate reality:</w:t>
      </w:r>
      <w:r>
        <w:t xml:space="preserve"> statutory core ~4 months; calibration done *correctly* (as ratified recommendation) +6 weeks; continuous/360 +6–8 weeks; analytics +4 weeks. Don't promise all of it for cycle one.</w:t>
      </w:r>
    </w:p>
    <w:p>
      <w:pPr>
        <w:pStyle w:val="Heading2"/>
      </w:pPr>
      <w:r>
        <w:rPr>
          <w:b/>
          <w:color w:val="1F3864"/>
          <w:sz w:val="30"/>
        </w:rPr>
        <w:t>2. Anonymous Peer Review</w:t>
      </w:r>
    </w:p>
    <w:p>
      <w:r>
        <w:t>*(Advisors anonymised A–E; mapping withheld. Each answers: strongest point &amp; why; biggest blind spot; what ALL FIVE missed.)*</w:t>
      </w:r>
    </w:p>
    <w:p>
      <w:r>
        <w:rPr>
          <w:b/>
        </w:rPr>
        <w:t>Reviewer A</w:t>
      </w:r>
    </w:p>
    <w:p>
      <w:pPr>
        <w:pStyle w:val="ListBullet"/>
      </w:pPr>
      <w:r>
        <w:t>*Strongest:* The calibration-overrides-AA authority argument. It reframes a "workflow stage" as a *legal-power* defect, which is the kind of finding that changes the design rather than patching it. Highest leverage in the room.</w:t>
      </w:r>
    </w:p>
    <w:p>
      <w:pPr>
        <w:pStyle w:val="ListBullet"/>
      </w:pPr>
      <w:r>
        <w:t>*Biggest blind spot (in another voice):* The Proponent treats "0 unresolved gaps" as substantive; it only means "0 gaps against the scope the BRD set itself." That's circular and lulls the reader.</w:t>
      </w:r>
    </w:p>
    <w:p>
      <w:pPr>
        <w:pStyle w:val="ListBullet"/>
      </w:pPr>
      <w:r>
        <w:t xml:space="preserve">*All five missed:* </w:t>
      </w:r>
      <w:r>
        <w:rPr>
          <w:b/>
        </w:rPr>
        <w:t>Bias-disparity analytics by protected attribute.</w:t>
      </w:r>
      <w:r>
        <w:t xml:space="preserve"> Everyone discussed rating bias as statistical skew per RO; nobody required adverse-rate / low-grade disparity analysis by gender/cadre/region (DPDP-safe aggregates). World-class HCM ships this; it's also the government's own equity obligation.</w:t>
      </w:r>
    </w:p>
    <w:p>
      <w:r>
        <w:rPr>
          <w:b/>
        </w:rPr>
        <w:t>Reviewer B</w:t>
      </w:r>
    </w:p>
    <w:p>
      <w:pPr>
        <w:pStyle w:val="ListBullet"/>
      </w:pPr>
      <w:r>
        <w:t xml:space="preserve">*Strongest:* The first-principles "two subsystems fused on one row" insight, with the concrete </w:t>
      </w:r>
      <w:r>
        <w:rPr>
          <w:rFonts w:ascii="Consolas" w:hAnsi="Consolas"/>
          <w:sz w:val="20"/>
        </w:rPr>
        <w:t>goals.form_id NOT NULL</w:t>
      </w:r>
      <w:r>
        <w:t xml:space="preserve"> evidence. It explains *multiple* downstream symptoms from one root cause — the mark of a real diagnosis.</w:t>
      </w:r>
    </w:p>
    <w:p>
      <w:pPr>
        <w:pStyle w:val="ListBullet"/>
      </w:pPr>
      <w:r>
        <w:t>*Biggest blind spot:* The Executor's "cut calibration to Phase 2" understates that calibration is partly *why* government buys this over paper. Cut *forced distribution* and *bell-curve*, keep *committee normalisation* as ratified recommendation — don't cut the whole capability.</w:t>
      </w:r>
    </w:p>
    <w:p>
      <w:pPr>
        <w:pStyle w:val="ListBullet"/>
      </w:pPr>
      <w:r>
        <w:t xml:space="preserve">*All five missed:* </w:t>
      </w:r>
      <w:r>
        <w:rPr>
          <w:b/>
        </w:rPr>
        <w:t>Digital signature / non-repudiation.</w:t>
      </w:r>
      <w:r>
        <w:t xml:space="preserve"> MFA step-up authenticates the session; it does not produce a legally-binding signed record. Statutory APARs need DSC/eSign per officer per tier. Nobody named it.</w:t>
      </w:r>
    </w:p>
    <w:p>
      <w:r>
        <w:rPr>
          <w:b/>
        </w:rPr>
        <w:t>Reviewer C</w:t>
      </w:r>
    </w:p>
    <w:p>
      <w:pPr>
        <w:pStyle w:val="ListBullet"/>
      </w:pPr>
      <w:r>
        <w:t>*Strongest:* The Outsider's "deemed-disclosure clock ambiguity." It's small but it's the exact crack litigation widens, and it's trivially fixable in spec — high return.</w:t>
      </w:r>
    </w:p>
    <w:p>
      <w:pPr>
        <w:pStyle w:val="ListBullet"/>
      </w:pPr>
      <w:r>
        <w:t>*Biggest blind spot:* The Contrarian's multi-RO point is correct but undersized — it's not a field, it's a *structural* remodel (report-periods entity, partial weights, "No Report" certificate, grade aggregation across periods). Costed as a tweak, it will blow the estimate.</w:t>
      </w:r>
    </w:p>
    <w:p>
      <w:pPr>
        <w:pStyle w:val="ListBullet"/>
      </w:pPr>
      <w:r>
        <w:t xml:space="preserve">*All five missed:* </w:t>
      </w:r>
      <w:r>
        <w:rPr>
          <w:b/>
        </w:rPr>
        <w:t>Tamper-evidence is asserted, not engineered.</w:t>
      </w:r>
      <w:r>
        <w:t xml:space="preserve"> The BRD says </w:t>
      </w:r>
      <w:r>
        <w:rPr>
          <w:rFonts w:ascii="Consolas" w:hAnsi="Consolas"/>
          <w:sz w:val="20"/>
        </w:rPr>
        <w:t>apar_disclosure_log</w:t>
      </w:r>
      <w:r>
        <w:t xml:space="preserve"> is "tamper-evident" (FR-M08-15 BR3) with no mechanism — no hash-chaining, no WORM, no external anchor. An auditor will ask "prove it wasn't altered," and "it's append-only in Postgres" is not an answer.</w:t>
      </w:r>
    </w:p>
    <w:p>
      <w:r>
        <w:rPr>
          <w:b/>
        </w:rPr>
        <w:t>Reviewer D</w:t>
      </w:r>
    </w:p>
    <w:p>
      <w:pPr>
        <w:pStyle w:val="ListBullet"/>
      </w:pPr>
      <w:r>
        <w:t>*Strongest:* The Proponent's recognition that the single shared roll-up function eliminates cross-tier grade drift. It's easy to overlook a thing that's *right*, and this one prevents a whole defect class.</w:t>
      </w:r>
    </w:p>
    <w:p>
      <w:pPr>
        <w:pStyle w:val="ListBullet"/>
      </w:pPr>
      <w:r>
        <w:t>*Biggest blind spot:* The Outsider focuses on acronym UX but misses that the *role-context* problem is also a *security* problem: users who don't understand their tier will over-share APAR content through legitimate channels (email the PDF). Plain-language role context is a leak-prevention control, not just polish.</w:t>
      </w:r>
    </w:p>
    <w:p>
      <w:pPr>
        <w:pStyle w:val="ListBullet"/>
      </w:pPr>
      <w:r>
        <w:t xml:space="preserve">*All five missed:* </w:t>
      </w:r>
      <w:r>
        <w:rPr>
          <w:b/>
        </w:rPr>
        <w:t>Auto-escalation on tier default.</w:t>
      </w:r>
      <w:r>
        <w:t xml:space="preserve"> Public-sector rule: if an RO/RvO/AA fails to record within the window, the report is written/escalated by the next higher authority (or a "No Report due to RO" is recorded). The BRD has SLA reminders but no *automatic transfer of authoring right* on default — cycles will stall on a single non-responsive officer.</w:t>
      </w:r>
    </w:p>
    <w:p>
      <w:r>
        <w:rPr>
          <w:b/>
        </w:rPr>
        <w:t>Reviewer E</w:t>
      </w:r>
    </w:p>
    <w:p>
      <w:pPr>
        <w:pStyle w:val="ListBullet"/>
      </w:pPr>
      <w:r>
        <w:t>*Strongest:* The Contrarian's sealed-cover finding. It's a named statutory procedure with direct, wrong-outcome consequences (improper promotion), and it's simply absent. Concrete and severe.</w:t>
      </w:r>
    </w:p>
    <w:p>
      <w:pPr>
        <w:pStyle w:val="ListBullet"/>
      </w:pPr>
      <w:r>
        <w:t>*Biggest blind spot:* The First-Principles "decouple goals from form" is architecturally right but risks over-correction — for the *statutory* report you still need an immutable goal snapshot at lock; the decoupling must be snapshot-on-lock, not live-reference, or you reintroduce mutability into the legal record.</w:t>
      </w:r>
    </w:p>
    <w:p>
      <w:pPr>
        <w:pStyle w:val="ListBullet"/>
      </w:pPr>
      <w:r>
        <w:t xml:space="preserve">*All five missed:* </w:t>
      </w:r>
      <w:r>
        <w:rPr>
          <w:b/>
        </w:rPr>
        <w:t>Right-of-deceased/transferred custody and retention-vs-erasure conflict.</w:t>
      </w:r>
      <w:r>
        <w:t xml:space="preserve"> Nobody addressed legal-heir/nominee access on death, or that statutory retention overrides the DPDP erasure right — both must be stated, or the module is caught between two laws.</w:t>
      </w:r>
    </w:p>
    <w:p>
      <w:pPr>
        <w:pStyle w:val="Heading2"/>
      </w:pPr>
      <w:r>
        <w:rPr>
          <w:b/>
          <w:color w:val="1F3864"/>
          <w:sz w:val="30"/>
        </w:rPr>
        <w:t>3. Chairman Synthesis</w:t>
      </w:r>
    </w:p>
    <w:p>
      <w:pPr>
        <w:pStyle w:val="Heading3"/>
      </w:pPr>
      <w:r>
        <w:rPr>
          <w:b/>
          <w:color w:val="2E5B9E"/>
          <w:sz w:val="26"/>
        </w:rPr>
        <w:t>3.1 Agreements (high consensus)</w:t>
      </w:r>
    </w:p>
    <w:p>
      <w:pPr>
        <w:pStyle w:val="ListBullet"/>
      </w:pPr>
      <w:r>
        <w:t xml:space="preserve">The </w:t>
      </w:r>
      <w:r>
        <w:rPr>
          <w:b/>
        </w:rPr>
        <w:t>architecture and statutory spine are strong</w:t>
      </w:r>
      <w:r>
        <w:t xml:space="preserve"> — confidentiality projection, append-only ledgers, separation of duties, outbox posting, single grade engine. This is hardening, not rescue.</w:t>
      </w:r>
    </w:p>
    <w:p>
      <w:pPr>
        <w:pStyle w:val="ListBullet"/>
      </w:pPr>
      <w:r>
        <w:rPr>
          <w:b/>
        </w:rPr>
        <w:t>Calibration as currently placed is the top risk</w:t>
      </w:r>
      <w:r>
        <w:t xml:space="preserve"> (3 of 5 advisors independently; reinforced in peer review): a committee mutating an AA-certified grade is a legal-authority defect, and forced distribution against an absolute scale compounds it.</w:t>
      </w:r>
    </w:p>
    <w:p>
      <w:pPr>
        <w:pStyle w:val="ListBullet"/>
      </w:pPr>
      <w:r>
        <w:rPr>
          <w:b/>
        </w:rPr>
        <w:t>The module fuses two systems that should be separated and bridged by snapshot</w:t>
      </w:r>
      <w:r>
        <w:t xml:space="preserve"> (continuous PM ↔ statutory APAR); the </w:t>
      </w:r>
      <w:r>
        <w:rPr>
          <w:rFonts w:ascii="Consolas" w:hAnsi="Consolas"/>
          <w:sz w:val="20"/>
        </w:rPr>
        <w:t>goals.form_id NOT NULL</w:t>
      </w:r>
      <w:r>
        <w:t xml:space="preserve"> coupling is the concrete symptom.</w:t>
      </w:r>
    </w:p>
    <w:p>
      <w:pPr>
        <w:pStyle w:val="ListBullet"/>
      </w:pPr>
      <w:r>
        <w:rPr>
          <w:b/>
        </w:rPr>
        <w:t>Several named statutory procedures are simply absent:</w:t>
      </w:r>
      <w:r>
        <w:t xml:space="preserve"> sealed cover, multi-RO part-period reports / "No Report Certificate," auto-escalation on tier default, mandatory full disclosure, digital signature.</w:t>
      </w:r>
    </w:p>
    <w:p>
      <w:pPr>
        <w:pStyle w:val="ListBullet"/>
      </w:pPr>
      <w:r>
        <w:rPr>
          <w:b/>
        </w:rPr>
        <w:t>Scope should be phased</w:t>
      </w:r>
      <w:r>
        <w:t>: statutory core first; continuous/360/forced-distribution behind flags.</w:t>
      </w:r>
    </w:p>
    <w:p>
      <w:pPr>
        <w:pStyle w:val="Heading3"/>
      </w:pPr>
      <w:r>
        <w:rPr>
          <w:b/>
          <w:color w:val="2E5B9E"/>
          <w:sz w:val="26"/>
        </w:rPr>
        <w:t>3.2 Clashes</w:t>
      </w:r>
    </w:p>
    <w:p>
      <w:pPr>
        <w:pStyle w:val="ListBullet"/>
      </w:pPr>
      <w:r>
        <w:rPr>
          <w:b/>
        </w:rPr>
        <w:t>C1 (FUNDAMENTAL): Cut calibration vs. keep calibration.</w:t>
      </w:r>
      <w:r>
        <w:t xml:space="preserve"> The Executor wants it in Phase 2; Reviewer B warns it's a core buying reason. → Resolved in second pass (3.5).</w:t>
      </w:r>
    </w:p>
    <w:p>
      <w:pPr>
        <w:pStyle w:val="ListBullet"/>
      </w:pPr>
      <w:r>
        <w:rPr>
          <w:b/>
        </w:rPr>
        <w:t>C2: Decouple goals from the form.</w:t>
      </w:r>
      <w:r>
        <w:t xml:space="preserve"> First-Principles wants employee×period goals; Reviewer E warns this must not reintroduce mutability into the legal record. → Resolved: decouple ownership, but </w:t>
      </w:r>
      <w:r>
        <w:rPr>
          <w:b/>
        </w:rPr>
        <w:t>snapshot-on-lock</w:t>
      </w:r>
      <w:r>
        <w:t xml:space="preserve"> an immutable copy into the form.</w:t>
      </w:r>
    </w:p>
    <w:p>
      <w:pPr>
        <w:pStyle w:val="ListBullet"/>
      </w:pPr>
      <w:r>
        <w:rPr>
          <w:b/>
        </w:rPr>
        <w:t>C3: How much statutory edge-casing is "world-class" vs "gold-plating"?</w:t>
      </w:r>
      <w:r>
        <w:t xml:space="preserve"> Proponent cautions against treating every edge case as a defect; Contrarian/Reviewers treat sealed-cover and multi-RO as mandatory. → Resolved: sealed-cover, multi-RO, full-disclosure, auto-escalation are </w:t>
      </w:r>
      <w:r>
        <w:rPr>
          <w:b/>
        </w:rPr>
        <w:t>mandatory</w:t>
      </w:r>
      <w:r>
        <w:t xml:space="preserve"> (wrong-outcome / compliance failures); apex-chain and legal-heir are </w:t>
      </w:r>
      <w:r>
        <w:rPr>
          <w:b/>
        </w:rPr>
        <w:t>required but configurable</w:t>
      </w:r>
      <w:r>
        <w:t xml:space="preserve">; forced distribution is </w:t>
      </w:r>
      <w:r>
        <w:rPr>
          <w:b/>
        </w:rPr>
        <w:t>removable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3.3 Blind spots the whole council shares (from peer review)</w:t>
      </w:r>
    </w:p>
    <w:p>
      <w:pPr>
        <w:pStyle w:val="ListBullet"/>
      </w:pPr>
      <w:r>
        <w:t>Bias-disparity analytics by protected attribute (equity obligation + best-in-class).</w:t>
      </w:r>
    </w:p>
    <w:p>
      <w:pPr>
        <w:pStyle w:val="ListBullet"/>
      </w:pPr>
      <w:r>
        <w:t>Digital signature / non-repudiation (DSC/eSign) distinct from MFA.</w:t>
      </w:r>
    </w:p>
    <w:p>
      <w:pPr>
        <w:pStyle w:val="ListBullet"/>
      </w:pPr>
      <w:r>
        <w:t>Tamper-evidence engineered (hash-chain/WORM), not asserted.</w:t>
      </w:r>
    </w:p>
    <w:p>
      <w:pPr>
        <w:pStyle w:val="ListBullet"/>
      </w:pPr>
      <w:r>
        <w:t>Auto-escalation transfer of authoring right on tier default.</w:t>
      </w:r>
    </w:p>
    <w:p>
      <w:pPr>
        <w:pStyle w:val="ListBullet"/>
      </w:pPr>
      <w:r>
        <w:t>Deceased/heir custody + retention-vs-DPDP-erasure legal basis.</w:t>
      </w:r>
    </w:p>
    <w:p>
      <w:pPr>
        <w:pStyle w:val="Heading3"/>
      </w:pPr>
      <w:r>
        <w:rPr>
          <w:b/>
          <w:color w:val="2E5B9E"/>
          <w:sz w:val="26"/>
        </w:rPr>
        <w:t>3.4 Idea evolution</w:t>
      </w:r>
    </w:p>
    <w:p>
      <w:r>
        <w:t xml:space="preserve">The BRD started as "a unified continuous + statutory appraisal module with a linear state machine through calibration." It should evolve into: </w:t>
      </w:r>
      <w:r>
        <w:rPr>
          <w:b/>
        </w:rPr>
        <w:t>two clearly separated subsystems</w:t>
      </w:r>
      <w:r>
        <w:t xml:space="preserve"> (continuous performance; statutory APAR) sharing identity, analytics, and a *snapshot-on-lock* bridge; with </w:t>
      </w:r>
      <w:r>
        <w:rPr>
          <w:b/>
        </w:rPr>
        <w:t>calibration repositioned as a ratified recommendation</w:t>
      </w:r>
      <w:r>
        <w:t xml:space="preserve"> feeding the grading authority rather than a state the legal record passes through; </w:t>
      </w:r>
      <w:r>
        <w:rPr>
          <w:b/>
        </w:rPr>
        <w:t>statutory procedures (sealed cover, multi-RO part-periods, auto-escalation, full disclosure, DSC) added as first-class</w:t>
      </w:r>
      <w:r>
        <w:t xml:space="preserve">; and </w:t>
      </w:r>
      <w:r>
        <w:rPr>
          <w:b/>
        </w:rPr>
        <w:t>forced ranking removed</w:t>
      </w:r>
      <w:r>
        <w:t xml:space="preserve"> in favour of committee normalisation. Phase 1 ships the statutory core; continuous/360 follow behind flags.</w:t>
      </w:r>
    </w:p>
    <w:p>
      <w:pPr>
        <w:pStyle w:val="Heading3"/>
      </w:pPr>
      <w:r>
        <w:rPr>
          <w:b/>
          <w:color w:val="2E5B9E"/>
          <w:sz w:val="26"/>
        </w:rPr>
        <w:t>3.5 Focused second pass on the FUNDAMENTAL clash (C1: calibration)</w:t>
      </w:r>
    </w:p>
    <w:p>
      <w:r>
        <w:t>The clash dissolves once "calibration" is split into two questions the BRD currently conflates:</w:t>
      </w:r>
    </w:p>
    <w:p>
      <w:pPr>
        <w:pStyle w:val="ListNumber"/>
      </w:pPr>
      <w:r>
        <w:rPr>
          <w:b/>
        </w:rPr>
        <w:t>Authority</w:t>
      </w:r>
      <w:r>
        <w:t xml:space="preserve"> — *who may change a certified grade?* Only a competent grading authority, never a committee acting on its own. → Calibration produces </w:t>
      </w:r>
      <w:r>
        <w:rPr>
          <w:rFonts w:ascii="Consolas" w:hAnsi="Consolas"/>
          <w:sz w:val="20"/>
        </w:rPr>
        <w:t>calibration_recommendations</w:t>
      </w:r>
      <w:r>
        <w:t xml:space="preserve">; the AA (or designated competent authority) </w:t>
      </w:r>
      <w:r>
        <w:rPr>
          <w:b/>
        </w:rPr>
        <w:t>ratifies</w:t>
      </w:r>
      <w:r>
        <w:t xml:space="preserve"> before any grade changes; if calibration runs *before* AA certification, the AA simply certifies the calibrated value. Either way the legal mutation is always an authority's act, logged with step-up + DSC.</w:t>
      </w:r>
    </w:p>
    <w:p>
      <w:pPr>
        <w:pStyle w:val="ListNumber"/>
      </w:pPr>
      <w:r>
        <w:rPr>
          <w:b/>
        </w:rPr>
        <w:t>Method</w:t>
      </w:r>
      <w:r>
        <w:t xml:space="preserve"> — *relative or absolute?* Statutory grading is absolute. → Keep </w:t>
      </w:r>
      <w:r>
        <w:rPr>
          <w:rFonts w:ascii="Consolas" w:hAnsi="Consolas"/>
          <w:sz w:val="20"/>
        </w:rPr>
        <w:t>COMMITTEE_REVIEW</w:t>
      </w:r>
      <w:r>
        <w:t xml:space="preserve"> and </w:t>
      </w:r>
      <w:r>
        <w:rPr>
          <w:rFonts w:ascii="Consolas" w:hAnsi="Consolas"/>
          <w:sz w:val="20"/>
        </w:rPr>
        <w:t>NORMALISATION</w:t>
      </w:r>
      <w:r>
        <w:t xml:space="preserve"> (surfacing comparability and outliers for the authority to consider); </w:t>
      </w:r>
      <w:r>
        <w:rPr>
          <w:b/>
        </w:rPr>
        <w:t>remove/disable `FORCED_DISTRIBUTION` and default-off `BELL_CURVE`</w:t>
      </w:r>
      <w:r>
        <w:t>; treat target distributions as *diagnostic*, never as an enforced quota.</w:t>
      </w:r>
    </w:p>
    <w:p>
      <w:r>
        <w:t xml:space="preserve">This satisfies the Executor (calibration can ship, scoped and safe), Reviewer B (the capability survives), and the Contrarian/First-Principles (no ultra-vires grade change, no unlawful forced ranking). </w:t>
      </w:r>
      <w:r>
        <w:rPr>
          <w:b/>
        </w:rPr>
        <w:t>Adopt.</w:t>
      </w:r>
    </w:p>
    <w:p>
      <w:pPr>
        <w:pStyle w:val="Heading3"/>
      </w:pPr>
      <w:r>
        <w:rPr>
          <w:b/>
          <w:color w:val="2E5B9E"/>
          <w:sz w:val="26"/>
        </w:rPr>
        <w:t>3.6 Risk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Advisor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Calibration committee mutates AA-certified grade without competent authority — ultra vires; adverse-remark litigation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 / First-Principles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Reposition as ratified recommendation; AA/competent authority ratifies with step-up + DSC; or calibrate pre-certification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Forced distribution / bell-curve against absolute statutory scale — gaming + unlawful quota downgrades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Remove </w:t>
            </w:r>
            <w:r>
              <w:rPr>
                <w:rFonts w:ascii="Consolas" w:hAnsi="Consolas"/>
                <w:sz w:val="18"/>
              </w:rPr>
              <w:t>FORCED_DISTRIBUTION</w:t>
            </w:r>
            <w:r>
              <w:rPr>
                <w:sz w:val="18"/>
              </w:rPr>
              <w:t xml:space="preserve">; default-off </w:t>
            </w:r>
            <w:r>
              <w:rPr>
                <w:rFonts w:ascii="Consolas" w:hAnsi="Consolas"/>
                <w:sz w:val="18"/>
              </w:rPr>
              <w:t>BELL_CURVE</w:t>
            </w:r>
            <w:r>
              <w:rPr>
                <w:sz w:val="18"/>
              </w:rPr>
              <w:t>; target distributions diagnostic-only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Sealed Cover Procedure absent — APARs finalised / eligibility fed to M06 for officers under charge → wrong promotions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 / Reviewer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sealed-cover state + M09 integration; block finalise/feed until proceeding concludes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Multi-RO part-period reports &amp; "No Report Certificate" unmodelled — cannot represent reality of officer with 2–3 ROs/year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 / Reviewer 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Report-period sub-entity; per-period RO/grade; min-supervision rule; aggregate to final grade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Adverse remark resting on anonymous 360 / undisclosed evidence — natural-justice defect sets APAR aside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Adverse/below-benchmark entries must cite disclosable evidence; anonymous 360 cannot be sole basis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Goals coupled to single form (</w:t>
            </w:r>
            <w:r>
              <w:rPr>
                <w:rFonts w:ascii="Consolas" w:hAnsi="Consolas"/>
                <w:sz w:val="18"/>
              </w:rPr>
              <w:t>form_id NOT NULL</w:t>
            </w:r>
            <w:r>
              <w:rPr>
                <w:sz w:val="18"/>
              </w:rPr>
              <w:t>) — defeats continuous/cross-cycle PM; mutability risk if loosened naively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First-Principles / Reviewer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Employee×period goal ownership; immutable snapshot-on-lock into form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Disclosure optional for favourable APARs — non-compliance with full-disclosure jurisprudence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First-Principles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Mandatory full-APAR disclosure; remove configurability of favourable non-disclosure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Deemed-disclosure clock ambiguity (dispatch vs acknowledgement) — representation timing disputes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Outsider / Reviewer 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Define clock start explicitly; deemed-disclosure still opens window; record dispatch + (optional) ack timestamps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Auto-escalation on tier default missing — single non-responsive officer stalls cycle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SLA engine transfers authoring right to next higher authority / records "No Report due to RO"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digital signature / non-repudiation — MFA ≠ legally signed record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DSC/eSign per tier on certify, disclosure ack, expunction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Tamper-evidence asserted, not engineered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Hash-chained append-only log + WORM/external anchor; verification endpoint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Apex-officer chain truncation — "all four distinct" unsatisfiable for top officers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 rule for truncated chains (designated reviewing/accepting tiers, or recorded single-tier)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Bias-disparity by protected attribute not analysed (equity obligation)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DPDP-safe disparity analytics (adverse-rate by gender/cadre/region, min-N suppressed)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Tier-projection on every field at 200k scale vs P95 &lt; 500ms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Projection caching, column-level pre-computation, load-test gate before GA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Deceased/heir custody + retention-vs-DPDP-erasure conflict unresolved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Legal-heir/nominee access path; state statutory-retention-overrides-erasure legal basis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Over-scope: continuous/360/calibration shipped with statutory core → pilot risk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Executor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Feature-flag and phase; pilot the statutory path first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Role-context invisible to users → mis-sharing of confidential content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Outsider / Reviewer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Plain-language tier banner + "why hidden" reason; treat as leak-prevention control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Cycle errata: config error (e.g., wrong threshold) mid-cycle forces every case through representation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Contrarian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Controlled cycle-correction/re-derivation workflow with 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3.7 Recommendation</w:t>
      </w:r>
    </w:p>
    <w:p>
      <w:r>
        <w:rPr>
          <w:b/>
        </w:rPr>
        <w:t>Adopt with mandatory revisions before build.</w:t>
      </w:r>
      <w:r>
        <w:t xml:space="preserve"> The BRD is fundamentally sound and clearly above a default statutory implementation, but it must not be built as-is on three points that produce wrong legal outcomes or litigation: (R1) calibration authority, (R3) sealed cover, and (R7) full disclosure — these are blocking. (R2, R4, R5, R6, R9, R10) are required for "world-class + statutory." The remainder are hardening that should be scheduled, not skipped. Phase the build: statutory core first, differentiators behind flags.</w:t>
      </w:r>
    </w:p>
    <w:p>
      <w:pPr>
        <w:pStyle w:val="Heading3"/>
      </w:pPr>
      <w:r>
        <w:rPr>
          <w:b/>
          <w:color w:val="2E5B9E"/>
          <w:sz w:val="26"/>
        </w:rPr>
        <w:t>3.8 The One Thing To Do First</w:t>
      </w:r>
    </w:p>
    <w:p>
      <w:r>
        <w:rPr>
          <w:b/>
        </w:rPr>
        <w:t>Re-architect calibration as a ratified recommendation and split the form's grade authority from the moderation act</w:t>
      </w:r>
      <w:r>
        <w:t xml:space="preserve"> — i.e., resolve R1 in the data model and state machine now (new </w:t>
      </w:r>
      <w:r>
        <w:rPr>
          <w:rFonts w:ascii="Consolas" w:hAnsi="Consolas"/>
          <w:sz w:val="20"/>
        </w:rPr>
        <w:t>calibration_recommendations</w:t>
      </w:r>
      <w:r>
        <w:t>, AA/competent-authority ratification with step-up + DSC, remove forced ranking). It is the highest-severity, highest-litigation, hardest-to-retrofit defect, and fixing it first also forces the cleaner first-principles separation (R6) and the digital-signature control (R10) into the design while they are still cheap.</w:t>
      </w:r>
    </w:p>
    <w:p>
      <w:pPr>
        <w:pStyle w:val="Heading2"/>
      </w:pPr>
      <w:r>
        <w:rPr>
          <w:b/>
          <w:color w:val="1F3864"/>
          <w:sz w:val="30"/>
        </w:rPr>
        <w:t>Adopted Improvements for BRD v2</w:t>
      </w:r>
    </w:p>
    <w:p>
      <w:pPr>
        <w:pStyle w:val="ListNumber"/>
      </w:pPr>
      <w:r>
        <w:rPr>
          <w:b/>
        </w:rPr>
        <w:t>Reposition calibration as a ratified recommendation.</w:t>
      </w:r>
      <w:r>
        <w:t xml:space="preserve"> Add entity </w:t>
      </w:r>
      <w:r>
        <w:rPr>
          <w:rFonts w:ascii="Consolas" w:hAnsi="Consolas"/>
          <w:sz w:val="20"/>
        </w:rPr>
        <w:t>calibration_recommendations</w:t>
      </w:r>
      <w:r>
        <w:t xml:space="preserve"> (proposed grade + rationale + committee vote) distinct from any applied grade; a certified </w:t>
      </w:r>
      <w:r>
        <w:rPr>
          <w:rFonts w:ascii="Consolas" w:hAnsi="Consolas"/>
          <w:sz w:val="20"/>
        </w:rPr>
        <w:t>final_grade</w:t>
      </w:r>
      <w:r>
        <w:t xml:space="preserve"> may change only by the AA/competent authority ratifying with MFA step-up </w:t>
      </w:r>
      <w:r>
        <w:rPr>
          <w:b/>
        </w:rPr>
        <w:t>and</w:t>
      </w:r>
      <w:r>
        <w:t xml:space="preserve"> digital signature, or by running calibration *before* AA certification. No committee may mutate a certified grade autonomously. (R1)</w:t>
      </w:r>
    </w:p>
    <w:p>
      <w:pPr>
        <w:pStyle w:val="ListNumber"/>
      </w:pPr>
      <w:r>
        <w:rPr>
          <w:b/>
        </w:rPr>
        <w:t>Remove `FORCED_DISTRIBUTION`; default-off `BELL_CURVE`.</w:t>
      </w:r>
      <w:r>
        <w:t xml:space="preserve"> Keep </w:t>
      </w:r>
      <w:r>
        <w:rPr>
          <w:rFonts w:ascii="Consolas" w:hAnsi="Consolas"/>
          <w:sz w:val="20"/>
        </w:rPr>
        <w:t>COMMITTEE_REVIEW</w:t>
      </w:r>
      <w:r>
        <w:t xml:space="preserve"> and </w:t>
      </w:r>
      <w:r>
        <w:rPr>
          <w:rFonts w:ascii="Consolas" w:hAnsi="Consolas"/>
          <w:sz w:val="20"/>
        </w:rPr>
        <w:t>NORMALISATION</w:t>
      </w:r>
      <w:r>
        <w:t xml:space="preserve">; make </w:t>
      </w:r>
      <w:r>
        <w:rPr>
          <w:rFonts w:ascii="Consolas" w:hAnsi="Consolas"/>
          <w:sz w:val="20"/>
        </w:rPr>
        <w:t>target_distribution</w:t>
      </w:r>
      <w:r>
        <w:t xml:space="preserve"> diagnostic-only (never an enforced quota); state explicitly that statutory grading is absolute, not relative. (R2)</w:t>
      </w:r>
    </w:p>
    <w:p>
      <w:pPr>
        <w:pStyle w:val="ListNumber"/>
      </w:pPr>
      <w:r>
        <w:rPr>
          <w:b/>
        </w:rPr>
        <w:t>Add the Sealed Cover Procedure.</w:t>
      </w:r>
      <w:r>
        <w:t xml:space="preserve"> New form state </w:t>
      </w:r>
      <w:r>
        <w:rPr>
          <w:rFonts w:ascii="Consolas" w:hAnsi="Consolas"/>
          <w:sz w:val="20"/>
        </w:rPr>
        <w:t>SEALED_COVER</w:t>
      </w:r>
      <w:r>
        <w:t xml:space="preserve"> and a </w:t>
      </w:r>
      <w:r>
        <w:rPr>
          <w:rFonts w:ascii="Consolas" w:hAnsi="Consolas"/>
          <w:sz w:val="20"/>
        </w:rPr>
        <w:t>sealed_cover</w:t>
      </w:r>
      <w:r>
        <w:t xml:space="preserve"> flag driven by M09 disciplinary/charge status; while sealed, block finalisation and </w:t>
      </w:r>
      <w:r>
        <w:rPr>
          <w:b/>
        </w:rPr>
        <w:t>suppress the M06 eligibility feed</w:t>
      </w:r>
      <w:r>
        <w:t>; on proceeding conclusion, release or act per outcome. Codify in the state machine and the M09 boundary contract. (R3)</w:t>
      </w:r>
    </w:p>
    <w:p>
      <w:pPr>
        <w:pStyle w:val="ListNumber"/>
      </w:pPr>
      <w:r>
        <w:rPr>
          <w:b/>
        </w:rPr>
        <w:t>Model multi-RO part-period reports.</w:t>
      </w:r>
      <w:r>
        <w:t xml:space="preserve"> New sub-entity </w:t>
      </w:r>
      <w:r>
        <w:rPr>
          <w:rFonts w:ascii="Consolas" w:hAnsi="Consolas"/>
          <w:sz w:val="20"/>
        </w:rPr>
        <w:t>appraisal_report_periods</w:t>
      </w:r>
      <w:r>
        <w:t xml:space="preserve"> (period dates, RO, part-period grade/remarks, supervision-months); add a minimum-supervision rule and a </w:t>
      </w:r>
      <w:r>
        <w:rPr>
          <w:b/>
        </w:rPr>
        <w:t>"No Report Certificate"</w:t>
      </w:r>
      <w:r>
        <w:t xml:space="preserve"> path when supervision &lt; threshold; define how part-period grades aggregate to the form's provisional grade. Make </w:t>
      </w:r>
      <w:r>
        <w:rPr>
          <w:rFonts w:ascii="Consolas" w:hAnsi="Consolas"/>
          <w:sz w:val="20"/>
        </w:rPr>
        <w:t>reporting_officer_id</w:t>
      </w:r>
      <w:r>
        <w:t xml:space="preserve"> resolve through periods rather than a single column. (R4)</w:t>
      </w:r>
    </w:p>
    <w:p>
      <w:pPr>
        <w:pStyle w:val="ListNumber"/>
      </w:pPr>
      <w:r>
        <w:rPr>
          <w:b/>
        </w:rPr>
        <w:t>Natural-justice guard on adverse remarks.</w:t>
      </w:r>
      <w:r>
        <w:t xml:space="preserve"> Business rule: an adverse or below-benchmark remark must be substantiated by </w:t>
      </w:r>
      <w:r>
        <w:rPr>
          <w:b/>
        </w:rPr>
        <w:t>disclosable</w:t>
      </w:r>
      <w:r>
        <w:t xml:space="preserve"> evidence; anonymous 360 or visibility-restricted continuous feedback </w:t>
      </w:r>
      <w:r>
        <w:rPr>
          <w:b/>
        </w:rPr>
        <w:t>cannot be the sole basis</w:t>
      </w:r>
      <w:r>
        <w:t xml:space="preserve"> of an adverse entry. (R5)</w:t>
      </w:r>
    </w:p>
    <w:p>
      <w:pPr>
        <w:pStyle w:val="ListNumber"/>
      </w:pPr>
      <w:r>
        <w:rPr>
          <w:b/>
        </w:rPr>
        <w:t>Decouple goals/OKRs from the form; snapshot on lock.</w:t>
      </w:r>
      <w:r>
        <w:t xml:space="preserve"> Own goals at </w:t>
      </w:r>
      <w:r>
        <w:rPr>
          <w:rFonts w:ascii="Consolas" w:hAnsi="Consolas"/>
          <w:sz w:val="20"/>
        </w:rPr>
        <w:t>employee × cycle/period</w:t>
      </w:r>
      <w:r>
        <w:t xml:space="preserve"> (allow cross-cycle objectives, parentless drafting before a form exists); on goal-lock, write an </w:t>
      </w:r>
      <w:r>
        <w:rPr>
          <w:b/>
        </w:rPr>
        <w:t>immutable snapshot</w:t>
      </w:r>
      <w:r>
        <w:t xml:space="preserve"> into the form so the statutory record stays append-only. Relax </w:t>
      </w:r>
      <w:r>
        <w:rPr>
          <w:rFonts w:ascii="Consolas" w:hAnsi="Consolas"/>
          <w:sz w:val="20"/>
        </w:rPr>
        <w:t>goals.form_id</w:t>
      </w:r>
      <w:r>
        <w:t xml:space="preserve"> to nullable with a </w:t>
      </w:r>
      <w:r>
        <w:rPr>
          <w:rFonts w:ascii="Consolas" w:hAnsi="Consolas"/>
          <w:sz w:val="20"/>
        </w:rPr>
        <w:t>form_goal_snapshots</w:t>
      </w:r>
      <w:r>
        <w:t xml:space="preserve"> link. (R6)</w:t>
      </w:r>
    </w:p>
    <w:p>
      <w:pPr>
        <w:pStyle w:val="ListNumber"/>
      </w:pPr>
      <w:r>
        <w:rPr>
          <w:b/>
        </w:rPr>
        <w:t>Mandatory full-APAR disclosure.</w:t>
      </w:r>
      <w:r>
        <w:t xml:space="preserve"> Remove the "favourable APARs disclosed per cycle config" optionality (FR-M08-08 BR1); the </w:t>
      </w:r>
      <w:r>
        <w:rPr>
          <w:b/>
        </w:rPr>
        <w:t>entire</w:t>
      </w:r>
      <w:r>
        <w:t xml:space="preserve"> report including every grading is disclosed to every officer; only the *channel/timing* is configurable, never *whether*. (R7)</w:t>
      </w:r>
    </w:p>
    <w:p>
      <w:pPr>
        <w:pStyle w:val="ListNumber"/>
      </w:pPr>
      <w:r>
        <w:rPr>
          <w:b/>
        </w:rPr>
        <w:t>Clarify the disclosure/representation clock.</w:t>
      </w:r>
      <w:r>
        <w:t xml:space="preserve"> Define explicitly whether the statutory representation window runs from </w:t>
      </w:r>
      <w:r>
        <w:rPr>
          <w:b/>
        </w:rPr>
        <w:t>dispatch</w:t>
      </w:r>
      <w:r>
        <w:t xml:space="preserve"> or </w:t>
      </w:r>
      <w:r>
        <w:rPr>
          <w:b/>
        </w:rPr>
        <w:t>acknowledgement</w:t>
      </w:r>
      <w:r>
        <w:t xml:space="preserve">; record both </w:t>
      </w:r>
      <w:r>
        <w:rPr>
          <w:rFonts w:ascii="Consolas" w:hAnsi="Consolas"/>
          <w:sz w:val="20"/>
        </w:rPr>
        <w:t>disclosed_at</w:t>
      </w:r>
      <w:r>
        <w:t xml:space="preserve"> and </w:t>
      </w:r>
      <w:r>
        <w:rPr>
          <w:rFonts w:ascii="Consolas" w:hAnsi="Consolas"/>
          <w:sz w:val="20"/>
        </w:rPr>
        <w:t>acknowledged_at</w:t>
      </w:r>
      <w:r>
        <w:t>; confirm deemed-disclosure (non-acknowledgement after configured period) still opens the representation window, with the chosen clock-start documented per jurisdiction. (R8)</w:t>
      </w:r>
    </w:p>
    <w:p>
      <w:pPr>
        <w:pStyle w:val="ListNumber"/>
      </w:pPr>
      <w:r>
        <w:rPr>
          <w:b/>
        </w:rPr>
        <w:t>Auto-escalation on tier default.</w:t>
      </w:r>
      <w:r>
        <w:t xml:space="preserve"> Extend the SLA engine so that if an RO/RvO/AA misses the statutory window, authoring right transfers to the next higher authority (or a "No Report due to RO/RvO" is recorded) — not just a reminder. Add to the form state machine and notifications. (R9)</w:t>
      </w:r>
    </w:p>
    <w:p>
      <w:pPr>
        <w:pStyle w:val="ListNumber"/>
      </w:pPr>
      <w:r>
        <w:rPr>
          <w:b/>
        </w:rPr>
        <w:t>Digital signature / non-repudiation.</w:t>
      </w:r>
      <w:r>
        <w:t xml:space="preserve"> Require DSC/eSign (distinct from MFA step-up) on RO/RvO/AA certification, disclosure acknowledgement, calibration ratification, and expunction; store signature metadata on </w:t>
      </w:r>
      <w:r>
        <w:rPr>
          <w:rFonts w:ascii="Consolas" w:hAnsi="Consolas"/>
          <w:sz w:val="20"/>
        </w:rPr>
        <w:t>appraisal_assessments</w:t>
      </w:r>
      <w:r>
        <w:t xml:space="preserve"> / </w:t>
      </w:r>
      <w:r>
        <w:rPr>
          <w:rFonts w:ascii="Consolas" w:hAnsi="Consolas"/>
          <w:sz w:val="20"/>
        </w:rPr>
        <w:t>apar_disclosure_log</w:t>
      </w:r>
      <w:r>
        <w:t>. (R10)</w:t>
      </w:r>
    </w:p>
    <w:p>
      <w:pPr>
        <w:pStyle w:val="ListNumber"/>
      </w:pPr>
      <w:r>
        <w:rPr>
          <w:b/>
        </w:rPr>
        <w:t>Engineer tamper-evidence.</w:t>
      </w:r>
      <w:r>
        <w:t xml:space="preserve"> Specify hash-chaining of </w:t>
      </w:r>
      <w:r>
        <w:rPr>
          <w:rFonts w:ascii="Consolas" w:hAnsi="Consolas"/>
          <w:sz w:val="20"/>
        </w:rPr>
        <w:t>apar_disclosure_log</w:t>
      </w:r>
      <w:r>
        <w:t xml:space="preserve"> (and SR events) with periodic external anchoring and a verification endpoint; replace the bare "tamper-evident" assertion in FR-M08-15 BR3. (R11)</w:t>
      </w:r>
    </w:p>
    <w:p>
      <w:pPr>
        <w:pStyle w:val="ListNumber"/>
      </w:pPr>
      <w:r>
        <w:rPr>
          <w:b/>
        </w:rPr>
        <w:t>Apex-officer chain handling.</w:t>
      </w:r>
      <w:r>
        <w:t xml:space="preserve"> Add an explicit, configurable rule for truncated chains (top-of-hierarchy officers with no RvO/AA): designated alternate tiers or a recorded single-tier appraisal — never a silent failure of "all four distinct." (R12)</w:t>
      </w:r>
    </w:p>
    <w:p>
      <w:pPr>
        <w:pStyle w:val="ListNumber"/>
      </w:pPr>
      <w:r>
        <w:rPr>
          <w:b/>
        </w:rPr>
        <w:t>Bias-disparity analytics.</w:t>
      </w:r>
      <w:r>
        <w:t xml:space="preserve"> Add to FR-M08-16 a DPDP-safe disparity view: adverse-rate, below-benchmark-rate and grade-mean by gender/cadre/region/RO over time (min-N suppressed), and a rater-leniency/central-tendency model across cycles — not just single-cycle skew. (R13)</w:t>
      </w:r>
    </w:p>
    <w:p>
      <w:pPr>
        <w:pStyle w:val="ListNumber"/>
      </w:pPr>
      <w:r>
        <w:rPr>
          <w:b/>
        </w:rPr>
        <w:t>Tier-projection performance gate.</w:t>
      </w:r>
      <w:r>
        <w:t xml:space="preserve"> Add NFR + load-test acceptance: tier-aware field projection must hold P95 &lt; 500ms at 200k employees via projection caching / column pre-computation; make this a GA gate. (R14)</w:t>
      </w:r>
    </w:p>
    <w:p>
      <w:pPr>
        <w:pStyle w:val="ListNumber"/>
      </w:pPr>
      <w:r>
        <w:rPr>
          <w:b/>
        </w:rPr>
        <w:t>Deceased/heir custody and retention-vs-erasure.</w:t>
      </w:r>
      <w:r>
        <w:t xml:space="preserve"> Add a legal-heir/nominee access path on death/retirement and a stated legal basis that statutory retention overrides the DPDP erasure right; cover in FR-M08-15. (R15)</w:t>
      </w:r>
    </w:p>
    <w:p>
      <w:pPr>
        <w:pStyle w:val="ListNumber"/>
      </w:pPr>
      <w:r>
        <w:rPr>
          <w:b/>
        </w:rPr>
        <w:t>Phase the scope.</w:t>
      </w:r>
      <w:r>
        <w:t xml:space="preserve"> Mark continuous feedback (FR-10), 360 (FR-11), and calibration (FR-09, scoped per #1–2) as feature-flagged Phase-2 differentiators; Phase-1 GA is the statutory core (cycle → goals → self → RO/RvO/AA → disclose → represent → post to SR). Update Section 14.3 waves and 13.3 pilot accordingly. (R16)</w:t>
      </w:r>
    </w:p>
    <w:p>
      <w:pPr>
        <w:pStyle w:val="ListNumber"/>
      </w:pPr>
      <w:r>
        <w:rPr>
          <w:b/>
        </w:rPr>
        <w:t>Plain-language role context + "why hidden" reasons.</w:t>
      </w:r>
      <w:r>
        <w:t xml:space="preserve"> Require the assessment workbench to state each user's tier in plain language and to show a reason banner where confidential fields are absent ("hidden until disclosure," "not visible to your tier"); treat as a confidentiality leak-prevention control in Section 7. (R17)</w:t>
      </w:r>
    </w:p>
    <w:p>
      <w:pPr>
        <w:pStyle w:val="ListNumber"/>
      </w:pPr>
      <w:r>
        <w:rPr>
          <w:b/>
        </w:rPr>
        <w:t>Cycle errata workflow.</w:t>
      </w:r>
      <w:r>
        <w:t xml:space="preserve"> Add a controlled cycle-correction/re-derivation path for configuration errors discovered mid-cycle (e.g., wrong adverse threshold), with audit and re-notification — instead of forcing every affected case through representation. (R18)</w:t>
      </w:r>
    </w:p>
    <w:p>
      <w:pPr>
        <w:pStyle w:val="ListNumber"/>
      </w:pPr>
      <w:r>
        <w:rPr>
          <w:b/>
        </w:rPr>
        <w:t>Probation appraisal semantics.</w:t>
      </w:r>
      <w:r>
        <w:t xml:space="preserve"> Flesh out </w:t>
      </w:r>
      <w:r>
        <w:rPr>
          <w:rFonts w:ascii="Consolas" w:hAnsi="Consolas"/>
          <w:sz w:val="20"/>
        </w:rPr>
        <w:t>cycle_type = PROBATION</w:t>
      </w:r>
      <w:r>
        <w:t>: confirmation-recommendation / extension outcome, feed to M01/M12, differentiated from the annual APAR flow (currently the enum exists but the behaviour does not).</w:t>
      </w:r>
    </w:p>
    <w:p>
      <w:pPr>
        <w:pStyle w:val="ListNumber"/>
      </w:pPr>
      <w:r>
        <w:rPr>
          <w:b/>
        </w:rPr>
        <w:t>Representation escalation ladder + external reference.</w:t>
      </w:r>
      <w:r>
        <w:t xml:space="preserve"> Define the statutory disposal deadline for the competent authority, the condonation authority for late filings, and a flag/handoff when a representation is rejected and the officer seeks an external tribunal (e.g., CAT) reference — closing the appeal chain rather than ending at "REJECTED."</w:t>
      </w:r>
    </w:p>
    <w:p>
      <w:pPr>
        <w:pStyle w:val="ListNumber"/>
      </w:pPr>
      <w:r>
        <w:rPr>
          <w:b/>
        </w:rPr>
        <w:t>Clarify weightage policy semantics.</w:t>
      </w:r>
      <w:r>
        <w:t xml:space="preserve"> State explicitly whether </w:t>
      </w:r>
      <w:r>
        <w:rPr>
          <w:rFonts w:ascii="Consolas" w:hAnsi="Consolas"/>
          <w:sz w:val="20"/>
        </w:rPr>
        <w:t>DEVELOPMENT</w:t>
      </w:r>
      <w:r>
        <w:t xml:space="preserve"> goals and competencies sit </w:t>
      </w:r>
      <w:r>
        <w:rPr>
          <w:b/>
        </w:rPr>
        <w:t>inside or outside</w:t>
      </w:r>
      <w:r>
        <w:t xml:space="preserve"> the 100% sum and exactly how the goal-vs-competency split rolls into the final grade (FR-M08-07 / </w:t>
      </w:r>
      <w:r>
        <w:rPr>
          <w:rFonts w:ascii="Consolas" w:hAnsi="Consolas"/>
          <w:sz w:val="20"/>
        </w:rPr>
        <w:t>weightage_policy</w:t>
      </w:r>
      <w:r>
        <w:t>), removing the current ambiguity.</w:t>
      </w:r>
    </w:p>
    <w:p>
      <w:pPr>
        <w:pStyle w:val="ListNumber"/>
      </w:pPr>
      <w:r>
        <w:rPr>
          <w:b/>
        </w:rPr>
        <w:t>Broaden conflict-of-interest/recusal.</w:t>
      </w:r>
      <w:r>
        <w:t xml:space="preserve"> Extend self/chain exclusion for calibration committee members and adjudicating authorities to declared COI (e.g., spouse, close relation, same direct prior posting), with a recorded recusal rather than only structural self/chain checks.</w:t>
      </w:r>
    </w:p>
    <w:p>
      <w:pPr>
        <w:pStyle w:val="ListNumber"/>
      </w:pPr>
      <w:r>
        <w:rPr>
          <w:b/>
        </w:rPr>
        <w:t>Dual-control on irreversible actions.</w:t>
      </w:r>
      <w:r>
        <w:t xml:space="preserve"> Require a second-person approval (in addition to MFA step-up) for retention </w:t>
      </w:r>
      <w:r>
        <w:rPr>
          <w:b/>
        </w:rPr>
        <w:t>disposal</w:t>
      </w:r>
      <w:r>
        <w:t xml:space="preserve"> and </w:t>
      </w:r>
      <w:r>
        <w:rPr>
          <w:b/>
        </w:rPr>
        <w:t>confidentiality downgrade</w:t>
      </w:r>
      <w:r>
        <w:t>, given both are irreversible/sensitive under the data-integrity rules.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Adversarial Idea Evaluator — Council Report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