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M09-DCP — Employee Disciplinary Cases and Punishment Management BRD (v1.0)</w:t>
      </w:r>
    </w:p>
    <w:p>
      <w:r>
        <w:rPr>
          <w:b/>
        </w:rPr>
        <w:t>Artefact under review:</w:t>
      </w:r>
      <w:r>
        <w:t xml:space="preserve"> </w:t>
      </w:r>
      <w:r>
        <w:rPr>
          <w:rFonts w:ascii="Consolas" w:hAnsi="Consolas"/>
          <w:sz w:val="20"/>
        </w:rPr>
        <w:t>/Users/n15318/hrms/docs/brd/v1/M09-disciplinary-cases-punishment.md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disciplinary-cases-and-punishment BRD complete, correct, and world-class (due-process workflow: charge-sheet, inquiry, penalty, appeal; natural-justice safeguards; statutory timelines; SR posting; effects on pay/promotion/pension)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r>
        <w:rPr>
          <w:b/>
        </w:rPr>
        <w:t>Benchmark bar:</w:t>
      </w:r>
      <w:r>
        <w:t xml:space="preserve"> Workday/SuccessFactors/Oracle HCM case-management discipline + Indian public-service quasi-judicial due process (CCS (CCA) Rules 1965, Article 311 of the Constitution, CVC/UPSC consultation regime, CCS (Pension) Rule 9, POSH Act 2013).</w:t>
      </w:r>
    </w:p>
    <w:p>
      <w:pPr>
        <w:pStyle w:val="Heading2"/>
      </w:pPr>
      <w:r>
        <w:rPr>
          <w:b/>
          <w:color w:val="1F3864"/>
          <w:sz w:val="30"/>
        </w:rPr>
        <w:t>Part 1 — The Five Advisors</w:t>
      </w:r>
    </w:p>
    <w:p>
      <w:pPr>
        <w:pStyle w:val="Heading3"/>
      </w:pPr>
      <w:r>
        <w:rPr>
          <w:b/>
          <w:color w:val="2E5B9E"/>
          <w:sz w:val="26"/>
        </w:rPr>
        <w:t>Advisor A — The Proponent</w:t>
      </w:r>
    </w:p>
    <w:p>
      <w:r>
        <w:t>This BRD is, frankly, the strongest of the disciplinary-module specs I have seen produced from a generic HCM baseline. It does not merely digitise a workflow; it encodes the *legal theory* of a quasi-judicial process. Three things deserve explicit praise.</w:t>
      </w:r>
    </w:p>
    <w:p>
      <w:r>
        <w:t xml:space="preserve">First, the </w:t>
      </w:r>
      <w:r>
        <w:rPr>
          <w:b/>
        </w:rPr>
        <w:t>due-process chain is enforced as data, not as documentation</w:t>
      </w:r>
      <w:r>
        <w:t xml:space="preserve">. DI-3 ("no penalty without process") makes a </w:t>
      </w:r>
      <w:r>
        <w:rPr>
          <w:rFonts w:ascii="Consolas" w:hAnsi="Consolas"/>
          <w:sz w:val="20"/>
        </w:rPr>
        <w:t>PENALTY</w:t>
      </w:r>
      <w:r>
        <w:t xml:space="preserve"> order structurally impossible unless a served charge-sheet, a defence (or recorded ex-parte), and — for major penalties — a concluded inquiry report and closed show-cause all exist. DI-4 ("show-cause ⊇ order") blocks the single most common appeal-winning defect: a penalty heavier than what was proposed. These are the two errors that set aside the most real-world orders, and they are caught at write time with named codes (</w:t>
      </w:r>
      <w:r>
        <w:rPr>
          <w:rFonts w:ascii="Consolas" w:hAnsi="Consolas"/>
          <w:sz w:val="20"/>
        </w:rPr>
        <w:t>DUE_PROCESS_INCOMPLETE</w:t>
      </w:r>
      <w:r>
        <w:t xml:space="preserve">, </w:t>
      </w:r>
      <w:r>
        <w:rPr>
          <w:rFonts w:ascii="Consolas" w:hAnsi="Consolas"/>
          <w:sz w:val="20"/>
        </w:rPr>
        <w:t>PENALTY_EXCEEDS_PROPOSED</w:t>
      </w:r>
      <w:r>
        <w:t>). That is genuinely world-class.</w:t>
      </w:r>
    </w:p>
    <w:p>
      <w:r>
        <w:t xml:space="preserve">Second, the </w:t>
      </w:r>
      <w:r>
        <w:rPr>
          <w:b/>
        </w:rPr>
        <w:t>natural-justice safeguards are sequenced correctly</w:t>
      </w:r>
      <w:r>
        <w:t xml:space="preserve">. The disagreement-memo flow (FR-009) correctly forces the DA to serve tentative reasons before upgrading a "not-proved" finding — a subtlety (post-*Yoginath Bagde*/*Punjab National Bank* jurisprudence) that most vendors miss entirely, returning </w:t>
      </w:r>
      <w:r>
        <w:rPr>
          <w:rFonts w:ascii="Consolas" w:hAnsi="Consolas"/>
          <w:sz w:val="20"/>
        </w:rPr>
        <w:t>NATURAL_JUSTICE_VIOLATION</w:t>
      </w:r>
      <w:r>
        <w:t xml:space="preserve"> if skipped.</w:t>
      </w:r>
    </w:p>
    <w:p>
      <w:r>
        <w:t xml:space="preserve">Third, </w:t>
      </w:r>
      <w:r>
        <w:rPr>
          <w:b/>
        </w:rPr>
        <w:t>integrity and confidentiality are first-class</w:t>
      </w:r>
      <w:r>
        <w:t xml:space="preserve">. SHA-256 evidence sealing (DI-7), read-audit on sealed records, whistle-blower hard-hide (DI-9), field-level service gating (charged officer sees only </w:t>
      </w:r>
      <w:r>
        <w:rPr>
          <w:rFonts w:ascii="Consolas" w:hAnsi="Consolas"/>
          <w:sz w:val="20"/>
        </w:rPr>
        <w:t>is_served=true</w:t>
      </w:r>
      <w:r>
        <w:t>), and an append-only timeline give the legal defensibility the executive summary promises.</w:t>
      </w:r>
    </w:p>
    <w:p>
      <w:r>
        <w:t>The interim-measures handling is also mature: deemed suspension on &gt;48h detention, subsistence floor/ceiling [25,75], scheduled review tasks, and outbox-based payroll emission so a cross-module failure never rolls back a lawful order. The appeal/revision/review trio with limitation + condonation and superseding SR events closes the loop. Build this as written and you have a defensible, auditable, timely system. My only counsel: protect this core from scope-creep — the bones are correct.</w:t>
      </w:r>
    </w:p>
    <w:p>
      <w:pPr>
        <w:pStyle w:val="Heading3"/>
      </w:pPr>
      <w:r>
        <w:rPr>
          <w:b/>
          <w:color w:val="2E5B9E"/>
          <w:sz w:val="26"/>
        </w:rPr>
        <w:t>Advisor B — The Contrarian</w:t>
      </w:r>
    </w:p>
    <w:p>
      <w:r>
        <w:t>The proponent admires the locks while three doors stand open. These are not edge cases; each is a published, repeatable reason penalty orders are quashed.</w:t>
      </w:r>
    </w:p>
    <w:p>
      <w:r>
        <w:rPr>
          <w:b/>
        </w:rPr>
        <w:t>1. Authority competence is unmodelled — and this voids dismissals.</w:t>
      </w:r>
      <w:r>
        <w:t xml:space="preserve"> Article 311(1) bars removal/dismissal by an authority *subordinate to the appointing authority*. The BRD lets any </w:t>
      </w:r>
      <w:r>
        <w:rPr>
          <w:rFonts w:ascii="Consolas" w:hAnsi="Consolas"/>
          <w:sz w:val="20"/>
        </w:rPr>
        <w:t>disciplinary_authority_id</w:t>
      </w:r>
      <w:r>
        <w:t xml:space="preserve"> pass any </w:t>
      </w:r>
      <w:r>
        <w:rPr>
          <w:rFonts w:ascii="Consolas" w:hAnsi="Consolas"/>
          <w:sz w:val="20"/>
        </w:rPr>
        <w:t>penalty_type</w:t>
      </w:r>
      <w:r>
        <w:t xml:space="preserve">. There is no competence matrix mapping (cadre × penalty class) → empowered authority, and no guard. A </w:t>
      </w:r>
      <w:r>
        <w:rPr>
          <w:rFonts w:ascii="Consolas" w:hAnsi="Consolas"/>
          <w:sz w:val="20"/>
        </w:rPr>
        <w:t>DISMISSAL</w:t>
      </w:r>
      <w:r>
        <w:t xml:space="preserve"> signed by an incompetent DA is void *ab initio* — the most catastrophic defect possible — and this spec cannot detect it.</w:t>
      </w:r>
    </w:p>
    <w:p>
      <w:r>
        <w:rPr>
          <w:b/>
        </w:rPr>
        <w:t>2. The "dispense with inquiry" and mandatory-consultation paths simply don't exist.</w:t>
      </w:r>
      <w:r>
        <w:t xml:space="preserve"> Article 311(2) second proviso permits (indeed requires) skipping inquiry on criminal conviction, where inquiry is "not reasonably practicable," or on security grounds — *with recorded reasons*. Conversely, central major-penalty cases require </w:t>
      </w:r>
      <w:r>
        <w:rPr>
          <w:b/>
        </w:rPr>
        <w:t>UPSC consultation</w:t>
      </w:r>
      <w:r>
        <w:t xml:space="preserve"> and, for vigilance cases, </w:t>
      </w:r>
      <w:r>
        <w:rPr>
          <w:b/>
        </w:rPr>
        <w:t>CVC first/second-stage advice</w:t>
      </w:r>
      <w:r>
        <w:t xml:space="preserve"> *before* the final order. The model has </w:t>
      </w:r>
      <w:r>
        <w:rPr>
          <w:rFonts w:ascii="Consolas" w:hAnsi="Consolas"/>
          <w:sz w:val="20"/>
        </w:rPr>
        <w:t>complaint_source=CVC</w:t>
      </w:r>
      <w:r>
        <w:t xml:space="preserve"> but no consultation entity and no guard. An order passed without mandatory UPSC consultation is routinely set aside. Both the lawful shortcut and the lawful brake are missing.</w:t>
      </w:r>
    </w:p>
    <w:p>
      <w:r>
        <w:rPr>
          <w:b/>
        </w:rPr>
        <w:t>3. The right to inspect listed documents/witnesses is absent.</w:t>
      </w:r>
      <w:r>
        <w:t xml:space="preserve"> Rule 14(3)/(4) gives the charged officer a right to a *list of documents and witnesses* and to *inspect* them. Denial is a textbook natural-justice breach. The model stores exhibits but records no "list supplied / inspection afforded" event. The procedural defect that wins the most inquiries is invisible here.</w:t>
      </w:r>
    </w:p>
    <w:p>
      <w:r>
        <w:rPr>
          <w:b/>
        </w:rPr>
        <w:t>The risk the author missed entirely: notification is being conflated with legal service.</w:t>
      </w:r>
      <w:r>
        <w:t xml:space="preserve"> </w:t>
      </w:r>
      <w:r>
        <w:rPr>
          <w:rFonts w:ascii="Consolas" w:hAnsi="Consolas"/>
          <w:sz w:val="20"/>
        </w:rPr>
        <w:t>service_mode</w:t>
      </w:r>
      <w:r>
        <w:t xml:space="preserve"> includes </w:t>
      </w:r>
      <w:r>
        <w:rPr>
          <w:rFonts w:ascii="Consolas" w:hAnsi="Consolas"/>
          <w:sz w:val="20"/>
        </w:rPr>
        <w:t>EMAIL</w:t>
      </w:r>
      <w:r>
        <w:t xml:space="preserve">, and the same email channel carries informational </w:t>
      </w:r>
      <w:r>
        <w:rPr>
          <w:rFonts w:ascii="Consolas" w:hAnsi="Consolas"/>
          <w:sz w:val="20"/>
        </w:rPr>
        <w:t>notifications</w:t>
      </w:r>
      <w:r>
        <w:t xml:space="preserve">. In most jurisdictions email is *not* valid service of a charge-sheet; relying on it makes service challengeable and the whole proceeding voidable. Add to this: </w:t>
      </w:r>
      <w:r>
        <w:rPr>
          <w:b/>
        </w:rPr>
        <w:t>subsistence allowance is paid with no `non_employment_certificate` gate</w:t>
      </w:r>
      <w:r>
        <w:t xml:space="preserve"> (statutorily required — pay it without the certificate and you create recoverable overpayments and audit paras), and the </w:t>
      </w:r>
      <w:r>
        <w:rPr>
          <w:b/>
        </w:rPr>
        <w:t>90-day suspension-review/charge-memo rule</w:t>
      </w:r>
      <w:r>
        <w:t xml:space="preserve"> (*Ajay Kumar Choudhary*) has a review *task* but no deemed-revocation consequence. Evidence tampering is well guarded; *procedural* tampering with the record of service and consultation is not.</w:t>
      </w:r>
    </w:p>
    <w:p>
      <w:pPr>
        <w:pStyle w:val="Heading3"/>
      </w:pPr>
      <w:r>
        <w:rPr>
          <w:b/>
          <w:color w:val="2E5B9E"/>
          <w:sz w:val="26"/>
        </w:rPr>
        <w:t>Advisor C — The First Principles Thinker</w:t>
      </w:r>
    </w:p>
    <w:p>
      <w:r>
        <w:t>Strip this to its primitives. A disciplinary case is: *a contested factual claim, adjudicated by an empowered authority, through a procedure whose validity is itself justiciable.* The BRD models the first and third primitives superbly and the second barely at all — and that asymmetry is the framing flaw.</w:t>
      </w:r>
    </w:p>
    <w:p>
      <w:r>
        <w:rPr>
          <w:b/>
        </w:rPr>
        <w:t>Hidden assumption #1: one delinquent per case.</w:t>
      </w:r>
      <w:r>
        <w:t xml:space="preserve"> </w:t>
      </w:r>
      <w:r>
        <w:rPr>
          <w:rFonts w:ascii="Consolas" w:hAnsi="Consolas"/>
          <w:sz w:val="20"/>
        </w:rPr>
        <w:t>disciplinary_cases.charged_employee_id</w:t>
      </w:r>
      <w:r>
        <w:t xml:space="preserve"> is singular. Real misconduct is frequently collusive — a sanctioning officer, a verifying officer, a beneficiary — tried in *common proceedings* before one IO on one set of evidence. The current model forces N parallel cases that cannot share an inquiry, witnesses, exhibits, or order, duplicating evidence and inviting inconsistent findings. The atom should arguably be the *proceeding*, with one-or-more *charged officers* attached.</w:t>
      </w:r>
    </w:p>
    <w:p>
      <w:r>
        <w:rPr>
          <w:b/>
        </w:rPr>
        <w:t>Hidden assumption #2: the procedure is statically linear.</w:t>
      </w:r>
      <w:r>
        <w:t xml:space="preserve"> §12.1 hard-codes INTAKE→…→CLOSED. But the document elsewhere insists everything is *configurable to the deploying jurisdiction*. These contradict. A truly first-principles design separates the </w:t>
      </w:r>
      <w:r>
        <w:rPr>
          <w:b/>
        </w:rPr>
        <w:t>invariant kernel</w:t>
      </w:r>
      <w:r>
        <w:t xml:space="preserve"> (charge → opportunity-to-defend → reasoned finding → proportionate penalty → appeal) from the </w:t>
      </w:r>
      <w:r>
        <w:rPr>
          <w:b/>
        </w:rPr>
        <w:t>jurisdiction-specific overlay</w:t>
      </w:r>
      <w:r>
        <w:t xml:space="preserve"> (which consultations, which authority competence, which timelines, dispense-with-inquiry conditions). Right now statutory specifics are smeared across enums and DI-rules as if universal, while the genuinely universal natural-justice kernel is mixed in with CCS-specific assumptions. A configurable *procedure-template* per case_type would let the same engine serve a corporate code of conduct and a government conduct-rule regime — which is exactly the "global HCM + public-sector" dual mandate the shared foundation demands.</w:t>
      </w:r>
    </w:p>
    <w:p>
      <w:r>
        <w:rPr>
          <w:b/>
        </w:rPr>
        <w:t>Hidden assumption #3: suspension is a stage.</w:t>
      </w:r>
      <w:r>
        <w:t xml:space="preserve"> It is not — it is a *parallel interim status*. The BRD says so ("SUSPENSION (parallel)") then lists SUSPENSION as a linear </w:t>
      </w:r>
      <w:r>
        <w:rPr>
          <w:rFonts w:ascii="Consolas" w:hAnsi="Consolas"/>
          <w:sz w:val="20"/>
        </w:rPr>
        <w:t>case_stage</w:t>
      </w:r>
      <w:r>
        <w:t>. That ontological confusion will produce real state-machine bugs.</w:t>
      </w:r>
    </w:p>
    <w:p>
      <w:r>
        <w:t xml:space="preserve">Reframe: model </w:t>
      </w:r>
      <w:r>
        <w:rPr>
          <w:b/>
        </w:rPr>
        <w:t>competence</w:t>
      </w:r>
      <w:r>
        <w:t xml:space="preserve">, </w:t>
      </w:r>
      <w:r>
        <w:rPr>
          <w:b/>
        </w:rPr>
        <w:t>consultation</w:t>
      </w:r>
      <w:r>
        <w:t xml:space="preserve">, and </w:t>
      </w:r>
      <w:r>
        <w:rPr>
          <w:b/>
        </w:rPr>
        <w:t>procedure-template</w:t>
      </w:r>
      <w:r>
        <w:t xml:space="preserve"> as first-class configurable entities, and the system becomes both more correct *and* more general — the rare case where rigour and reach point the same way.</w:t>
      </w:r>
    </w:p>
    <w:p>
      <w:pPr>
        <w:pStyle w:val="Heading3"/>
      </w:pPr>
      <w:r>
        <w:rPr>
          <w:b/>
          <w:color w:val="2E5B9E"/>
          <w:sz w:val="26"/>
        </w:rPr>
        <w:t>Advisor D — The Outsider</w:t>
      </w:r>
    </w:p>
    <w:p>
      <w:r>
        <w:t>I run HR systems for a large multinational. Reading this, two reactions: it is obviously expert, and it is obviously written for one country's civil service — which is a problem for a spec that claims a "leading global organisation" bar.</w:t>
      </w:r>
    </w:p>
    <w:p>
      <w:r>
        <w:t>The vocabulary is dense and untranslated. "Articles of charge," "statement of imputation," "disagreement memo," "ex-parte," "suo-motu," "nemo judex in causa sua," "condonation of delay," "CCS(CCA) Rule 14," "subsistence allowance." A glossary exists (good), but the *data model itself* hard-bakes these. If a Singaporean or German subsidiary runs this, "show-cause," "compulsory retirement," and the 45-day appeal limitation are simply wrong defaults, and there is no seam to swap them. The BRD says values are configurable, but the *concepts* (e.g. a mandatory disagreement memo, a UPSC-shaped consultation) are not parameterised — they are assumed present.</w:t>
      </w:r>
    </w:p>
    <w:p>
      <w:r>
        <w:t xml:space="preserve">Complexity worry: 21 entities, 30+ enums, 12 integrity rules, 14 error codes, 16 FRs. Much is justified by the legal weight. But a frontline HR officer just wants to "raise a case, charge someone, hold a hearing, decide, let them appeal." The risk is that the </w:t>
      </w:r>
      <w:r>
        <w:rPr>
          <w:b/>
        </w:rPr>
        <w:t>everyday minor-penalty case</w:t>
      </w:r>
      <w:r>
        <w:t xml:space="preserve"> (a censure for unauthorised absence) is buried under machinery built for the rare corruption dismissal. I would want an explicit *fast lane*: minor-track, admitted-charge, single-officer cases should traverse maybe four screens, not the full stepper. The BRD gestures at this (ADMITS_ALL → direct penalty) but the UI inventory shows one heavyweight workbench for all.</w:t>
      </w:r>
    </w:p>
    <w:p>
      <w:r>
        <w:t>Two plain-language gaps that will bite untrained users: nowhere does the spec say what the charged officer is *told they are entitled to* (defence assistant, document inspection, personal hearing) in their own portal — the Charged-Officer Portal is described as a document-list, not a rights-and-deadlines guide. And "harassment" is a single enum value, yet anyone outside this jurisdiction knows sexual-harassment cases need a *different* committee and procedure entirely. Make the obvious things obvious.</w:t>
      </w:r>
    </w:p>
    <w:p>
      <w:pPr>
        <w:pStyle w:val="Heading3"/>
      </w:pPr>
      <w:r>
        <w:rPr>
          <w:b/>
          <w:color w:val="2E5B9E"/>
          <w:sz w:val="26"/>
        </w:rPr>
        <w:t>Advisor E — The Executor</w:t>
      </w:r>
    </w:p>
    <w:p>
      <w:r>
        <w:t>Feasibility is good — the entity model, APIs, state tables, outbox pattern and parallel-agent plan (Tracks A–H) are buildable largely as written. My concern is *sequencing and dependency truth*, because several "0 gaps" claims hide build-blocking unknowns.</w:t>
      </w:r>
    </w:p>
    <w:p>
      <w:r>
        <w:rPr>
          <w:b/>
        </w:rPr>
        <w:t>Critical-path dependency the plan understates: the authority/competence and consultation reference data.</w:t>
      </w:r>
      <w:r>
        <w:t xml:space="preserve"> Track D (Decision/appeal) cannot correctly gate </w:t>
      </w:r>
      <w:r>
        <w:rPr>
          <w:rFonts w:ascii="Consolas" w:hAnsi="Consolas"/>
          <w:sz w:val="20"/>
        </w:rPr>
        <w:t>finalise</w:t>
      </w:r>
      <w:r>
        <w:t xml:space="preserve"> without (a) a competence matrix and (b) a consultation register — neither of which is a defined entity, so neither is in Track A's data model. As written, Track D will ship a finalise endpoint that *appears* to enforce due process but silently permits void orders. That is worse than a missing feature; it is a false safety signal. This must be pulled into the foundation (Track A) before any decision logic.</w:t>
      </w:r>
    </w:p>
    <w:p>
      <w:r>
        <w:rPr>
          <w:b/>
        </w:rPr>
        <w:t>The SLA/clock-pause is asserted but unspecified.</w:t>
      </w:r>
      <w:r>
        <w:t xml:space="preserve"> FR-016 mentions "paused clock during stays" and stage re-entry on remit, but there is no pause/resume ledger, no rule for *which* events pause *which* SLA, and no recomputation of </w:t>
      </w:r>
      <w:r>
        <w:rPr>
          <w:rFonts w:ascii="Consolas" w:hAnsi="Consolas"/>
          <w:sz w:val="20"/>
        </w:rPr>
        <w:t>expected_closure_date</w:t>
      </w:r>
      <w:r>
        <w:t xml:space="preserve"> after condonation or de novo. Build this naively and every appealed/remitted case will show false breaches, destroying the dashboard's credibility on day one. Needs an explicit SLA-pause event model in Track G.</w:t>
      </w:r>
    </w:p>
    <w:p>
      <w:r>
        <w:rPr>
          <w:b/>
        </w:rPr>
        <w:t>Idempotency keys are required at the API but their lifecycle is undefined</w:t>
      </w:r>
      <w:r>
        <w:t xml:space="preserve"> — who mints them, how long they're retained, dedup window. Without that, the outbox "no duplicate effects" guarantee (the thing protecting payroll from double recovery) is unproven. Define a dedup store and TTL.</w:t>
      </w:r>
    </w:p>
    <w:p>
      <w:r>
        <w:rPr>
          <w:b/>
        </w:rPr>
        <w:t>Monday-morning step:</w:t>
      </w:r>
      <w:r>
        <w:t xml:space="preserve"> do *not* start with intake screens. Start by writing two reference tables and their seed data — </w:t>
      </w:r>
      <w:r>
        <w:rPr>
          <w:rFonts w:ascii="Consolas" w:hAnsi="Consolas"/>
          <w:sz w:val="20"/>
        </w:rPr>
        <w:t>authority_competence</w:t>
      </w:r>
      <w:r>
        <w:t xml:space="preserve"> (cadre × penalty_class × empowered_authority_level) and a </w:t>
      </w:r>
      <w:r>
        <w:rPr>
          <w:rFonts w:ascii="Consolas" w:hAnsi="Consolas"/>
          <w:sz w:val="20"/>
        </w:rPr>
        <w:t>procedure_template</w:t>
      </w:r>
      <w:r>
        <w:t xml:space="preserve">/consultation config — and a single failing test: "a DISMISSAL finalised by a non-appointing authority returns </w:t>
      </w:r>
      <w:r>
        <w:rPr>
          <w:rFonts w:ascii="Consolas" w:hAnsi="Consolas"/>
          <w:sz w:val="20"/>
        </w:rPr>
        <w:t>AUTHORITY_NOT_COMPETENT</w:t>
      </w:r>
      <w:r>
        <w:t>." If that test can be made to pass, the spec's central legal promise is real. Everything else is plumbing around it.</w:t>
      </w:r>
    </w:p>
    <w:p>
      <w:pPr>
        <w:pStyle w:val="Heading2"/>
      </w:pPr>
      <w:r>
        <w:rPr>
          <w:b/>
          <w:color w:val="1F3864"/>
          <w:sz w:val="30"/>
        </w:rPr>
        <w:t>Part 2 — Anonymous Peer Review</w:t>
      </w:r>
    </w:p>
    <w:p>
      <w:r>
        <w:t>*(Advisors anonymised A–E exactly as above. Each reviewer answers: strongest point &amp; why; biggest blind spot; what ALL FIVE missed.)*</w:t>
      </w:r>
    </w:p>
    <w:p>
      <w:r>
        <w:rPr>
          <w:b/>
        </w:rPr>
        <w:t>Reviewer 1</w:t>
      </w:r>
    </w:p>
    <w:p>
      <w:pPr>
        <w:pStyle w:val="ListBullet"/>
      </w:pPr>
      <w:r>
        <w:t>*Strongest:* B (Contrarian). The authority-competence/Article 311(1) gap is the single highest-severity finding — it converts the spec's flagship claim ("legally defensible orders") into a false guarantee for exactly the gravest penalties. Concrete and verifiable.</w:t>
      </w:r>
    </w:p>
    <w:p>
      <w:pPr>
        <w:pStyle w:val="ListBullet"/>
      </w:pPr>
      <w:r>
        <w:t>*Biggest blind spot:* A (Proponent) praises DI-3 as the due-process guarantee without noticing DI-3 checks *stage existence*, not *authority competence or mandatory consultation* — so A overstates how "bulletproof" the chain is.</w:t>
      </w:r>
    </w:p>
    <w:p>
      <w:pPr>
        <w:pStyle w:val="ListBullet"/>
      </w:pPr>
      <w:r>
        <w:t xml:space="preserve">*All five missed:* No one addressed </w:t>
      </w:r>
      <w:r>
        <w:rPr>
          <w:b/>
        </w:rPr>
        <w:t>proportionality of penalty</w:t>
      </w:r>
      <w:r>
        <w:t xml:space="preserve"> as a reviewable dimension. Orders are also quashed for penalty *shockingly disproportionate* to the misconduct (Wednesbury/*proportionality* review). Nothing records a proportionality rationale or flags outliers.</w:t>
      </w:r>
    </w:p>
    <w:p>
      <w:r>
        <w:rPr>
          <w:b/>
        </w:rPr>
        <w:t>Reviewer 2</w:t>
      </w:r>
    </w:p>
    <w:p>
      <w:pPr>
        <w:pStyle w:val="ListBullet"/>
      </w:pPr>
      <w:r>
        <w:t>*Strongest:* C (First Principles). Separating an invariant natural-justice kernel from a jurisdiction overlay is the only insight that resolves the global-vs-public-sector tension structurally rather than by piling on fields.</w:t>
      </w:r>
    </w:p>
    <w:p>
      <w:pPr>
        <w:pStyle w:val="ListBullet"/>
      </w:pPr>
      <w:r>
        <w:t>*Biggest blind spot:* D (Outsider) wants a simpler fast lane but underestimates that even a "simple" censure can be appealed; simplification of the *UI* must not simplify the *audit chain*.</w:t>
      </w:r>
    </w:p>
    <w:p>
      <w:pPr>
        <w:pStyle w:val="ListBullet"/>
      </w:pPr>
      <w:r>
        <w:t xml:space="preserve">*All five missed:* </w:t>
      </w:r>
      <w:r>
        <w:rPr>
          <w:b/>
        </w:rPr>
        <w:t>Cross-module concurrency / transfer of jurisdiction.</w:t>
      </w:r>
      <w:r>
        <w:t xml:space="preserve"> If the charged officer is transferred (M05) or promoted mid-proceeding, *which* org_unit/DA is competent, and does the case follow? No one raised the employee-lifecycle race against an 18-month proceeding.</w:t>
      </w:r>
    </w:p>
    <w:p>
      <w:r>
        <w:rPr>
          <w:b/>
        </w:rPr>
        <w:t>Reviewer 3</w:t>
      </w:r>
    </w:p>
    <w:p>
      <w:pPr>
        <w:pStyle w:val="ListBullet"/>
      </w:pPr>
      <w:r>
        <w:t>*Strongest:* E (Executor). Identifying that Track D will ship a *false safety signal* (a finalise endpoint that looks compliant but isn't) is the most actionable build-risk; it reorders the plan.</w:t>
      </w:r>
    </w:p>
    <w:p>
      <w:pPr>
        <w:pStyle w:val="ListBullet"/>
      </w:pPr>
      <w:r>
        <w:t>*Biggest blind spot:* B lists many statutory voids but doesn't prioritise; an implementer can't tell which one to fix first (it is competence — but B doesn't say so).</w:t>
      </w:r>
    </w:p>
    <w:p>
      <w:pPr>
        <w:pStyle w:val="ListBullet"/>
      </w:pPr>
      <w:r>
        <w:t xml:space="preserve">*All five missed:* </w:t>
      </w:r>
      <w:r>
        <w:rPr>
          <w:b/>
        </w:rPr>
        <w:t>Abatement and the deceased/retired employee order_type.</w:t>
      </w:r>
      <w:r>
        <w:t xml:space="preserve"> </w:t>
      </w:r>
      <w:r>
        <w:rPr>
          <w:rFonts w:ascii="Consolas" w:hAnsi="Consolas"/>
          <w:sz w:val="20"/>
        </w:rPr>
        <w:t>order_type</w:t>
      </w:r>
      <w:r>
        <w:t xml:space="preserve"> has only PENALTY/EXONERATION/DROP_PROCEEDINGS; death-abates-proceedings is an edge-case note with no terminal state, leaving cases stuck.</w:t>
      </w:r>
    </w:p>
    <w:p>
      <w:r>
        <w:rPr>
          <w:b/>
        </w:rPr>
        <w:t>Reviewer 4</w:t>
      </w:r>
    </w:p>
    <w:p>
      <w:pPr>
        <w:pStyle w:val="ListBullet"/>
      </w:pPr>
      <w:r>
        <w:t>*Strongest:* B again — the notification-vs-legal-service conflation is a subtle, non-obvious, high-impact defect the author genuinely missed, and it taints *every* served artefact, not one screen.</w:t>
      </w:r>
    </w:p>
    <w:p>
      <w:pPr>
        <w:pStyle w:val="ListBullet"/>
      </w:pPr>
      <w:r>
        <w:t xml:space="preserve">*Biggest blind spot:* A treats the append-only </w:t>
      </w:r>
      <w:r>
        <w:rPr>
          <w:rFonts w:ascii="Consolas" w:hAnsi="Consolas"/>
          <w:sz w:val="20"/>
        </w:rPr>
        <w:t>audit_log</w:t>
      </w:r>
      <w:r>
        <w:t xml:space="preserve"> as sufficient for legal defensibility, but does not ask whether it is *cryptographically chained*; an append-only table an admin can still mutate at the DB layer is weaker evidence than a hash-chained ledger.</w:t>
      </w:r>
    </w:p>
    <w:p>
      <w:pPr>
        <w:pStyle w:val="ListBullet"/>
      </w:pPr>
      <w:r>
        <w:t xml:space="preserve">*All five missed:* </w:t>
      </w:r>
      <w:r>
        <w:rPr>
          <w:b/>
        </w:rPr>
        <w:t>POSH / sexual-harassment divergence.</w:t>
      </w:r>
      <w:r>
        <w:t xml:space="preserve"> Harassment is one enum value, but POSH-Act cases require an Internal Committee with mandated composition and timelines *replacing* the IO route. Treating it as ordinary misconduct is a compliance defect for a whole category.</w:t>
      </w:r>
    </w:p>
    <w:p>
      <w:r>
        <w:rPr>
          <w:b/>
        </w:rPr>
        <w:t>Reviewer 5</w:t>
      </w:r>
    </w:p>
    <w:p>
      <w:pPr>
        <w:pStyle w:val="ListBullet"/>
      </w:pPr>
      <w:r>
        <w:t>*Strongest:* C. The "suspension is a parallel status, not a stage" catch is small to state but exposes a real state-machine contradiction already visible in §12.1.</w:t>
      </w:r>
    </w:p>
    <w:p>
      <w:pPr>
        <w:pStyle w:val="ListBullet"/>
      </w:pPr>
      <w:r>
        <w:t>*Biggest blind spot:* D frames density as a usability problem; the deeper issue C names is that the density is *un-parameterised*, so D's translation worry is actually C's overlay worry.</w:t>
      </w:r>
    </w:p>
    <w:p>
      <w:pPr>
        <w:pStyle w:val="ListBullet"/>
      </w:pPr>
      <w:r>
        <w:t xml:space="preserve">*All five missed:* </w:t>
      </w:r>
      <w:r>
        <w:rPr>
          <w:b/>
        </w:rPr>
        <w:t>Digital signing / DSC of orders.</w:t>
      </w:r>
      <w:r>
        <w:t xml:space="preserve"> Everyone said "signed PDF," nobody required a Digital Signature Certificate / eSign with timestamp and signatory identity binding — without which the "signed order" is not legally a signed order in a government context.</w:t>
      </w:r>
    </w:p>
    <w:p>
      <w:pPr>
        <w:pStyle w:val="Heading2"/>
      </w:pPr>
      <w:r>
        <w:rPr>
          <w:b/>
          <w:color w:val="1F3864"/>
          <w:sz w:val="30"/>
        </w:rPr>
        <w:t>Part 3 — Chairman Synthesis</w:t>
      </w:r>
    </w:p>
    <w:p>
      <w:pPr>
        <w:pStyle w:val="Heading3"/>
      </w:pPr>
      <w:r>
        <w:rPr>
          <w:b/>
          <w:color w:val="2E5B9E"/>
          <w:sz w:val="26"/>
        </w:rPr>
        <w:t>3.1 Points of agreement (strong consensus)</w:t>
      </w:r>
    </w:p>
    <w:p>
      <w:pPr>
        <w:pStyle w:val="ListNumber"/>
      </w:pPr>
      <w:r>
        <w:t xml:space="preserve">The </w:t>
      </w:r>
      <w:r>
        <w:rPr>
          <w:b/>
        </w:rPr>
        <w:t>due-process *sequence</w:t>
      </w:r>
      <w:r>
        <w:t>* (DI-3, DI-4, disagreement memo, show-cause subset, evidence sealing, confidentiality, outbox propagation) is genuinely best-in-class and must be preserved intact.</w:t>
      </w:r>
    </w:p>
    <w:p>
      <w:pPr>
        <w:pStyle w:val="ListNumber"/>
      </w:pPr>
      <w:r>
        <w:rPr>
          <w:b/>
        </w:rPr>
        <w:t>Authority competence (Article 311(1))</w:t>
      </w:r>
      <w:r>
        <w:t xml:space="preserve"> is the highest-severity omission — multiple reviewers independently elevated it. The spec's headline promise fails precisely for dismissals/removals.</w:t>
      </w:r>
    </w:p>
    <w:p>
      <w:pPr>
        <w:pStyle w:val="ListNumber"/>
      </w:pPr>
      <w:r>
        <w:rPr>
          <w:b/>
        </w:rPr>
        <w:t>Mandatory external consultation (UPSC/CVC) and the lawful "dispense-with-inquiry" path</w:t>
      </w:r>
      <w:r>
        <w:t xml:space="preserve"> are both absent; both are order-voiding when mishandled.</w:t>
      </w:r>
    </w:p>
    <w:p>
      <w:pPr>
        <w:pStyle w:val="ListNumber"/>
      </w:pPr>
      <w:r>
        <w:t xml:space="preserve">The statutory regime is </w:t>
      </w:r>
      <w:r>
        <w:rPr>
          <w:b/>
        </w:rPr>
        <w:t>hard-baked, not parameterised</w:t>
      </w:r>
      <w:r>
        <w:t>, undermining the "global organisation" claim (C and D converge here).</w:t>
      </w:r>
    </w:p>
    <w:p>
      <w:pPr>
        <w:pStyle w:val="ListNumber"/>
      </w:pPr>
      <w:r>
        <w:rPr>
          <w:b/>
        </w:rPr>
        <w:t>Suspension is mis-modelled as a linear stage</w:t>
      </w:r>
      <w:r>
        <w:t xml:space="preserve"> rather than a parallel interim status — an acknowledged internal contradiction.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Simplify (D) vs. Rigour (A/B):</w:t>
      </w:r>
      <w:r>
        <w:t xml:space="preserve"> D wants a four-screen fast lane; A/B warn against thinning the audit chain. *Resolution:* simplify the </w:t>
      </w:r>
      <w:r>
        <w:rPr>
          <w:b/>
        </w:rPr>
        <w:t>UI path</w:t>
      </w:r>
      <w:r>
        <w:t xml:space="preserve"> for minor/admitted/single-officer cases while keeping the </w:t>
      </w:r>
      <w:r>
        <w:rPr>
          <w:b/>
        </w:rPr>
        <w:t>same</w:t>
      </w:r>
      <w:r>
        <w:t xml:space="preserve"> integrity rules and audit ledger underneath — UI altitude, not legal altitude.</w:t>
      </w:r>
    </w:p>
    <w:p>
      <w:pPr>
        <w:pStyle w:val="ListBullet"/>
      </w:pPr>
      <w:r>
        <w:rPr>
          <w:b/>
        </w:rPr>
        <w:t>One linear procedure (current spec / implicit A) vs. configurable template (C):</w:t>
      </w:r>
      <w:r>
        <w:t xml:space="preserve"> This is the one </w:t>
      </w:r>
      <w:r>
        <w:rPr>
          <w:b/>
        </w:rPr>
        <w:t>fundamental</w:t>
      </w:r>
      <w:r>
        <w:t xml:space="preserve"> clash and is addressed in the focused second pass below.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(initially) shared</w:t>
      </w:r>
    </w:p>
    <w:p>
      <w:pPr>
        <w:pStyle w:val="ListBullet"/>
      </w:pPr>
      <w:r>
        <w:rPr>
          <w:b/>
        </w:rPr>
        <w:t>Penalty proportionality</w:t>
      </w:r>
      <w:r>
        <w:t xml:space="preserve"> as a recorded, reviewable rationale (Reviewer 1).</w:t>
      </w:r>
    </w:p>
    <w:p>
      <w:pPr>
        <w:pStyle w:val="ListBullet"/>
      </w:pPr>
      <w:r>
        <w:rPr>
          <w:b/>
        </w:rPr>
        <w:t>Mid-proceeding employee-lifecycle races</w:t>
      </w:r>
      <w:r>
        <w:t xml:space="preserve"> — transfer/promotion/retirement changing competent authority (Reviewer 2).</w:t>
      </w:r>
    </w:p>
    <w:p>
      <w:pPr>
        <w:pStyle w:val="ListBullet"/>
      </w:pPr>
      <w:r>
        <w:rPr>
          <w:b/>
        </w:rPr>
        <w:t>Terminal states for abatement/deceased</w:t>
      </w:r>
      <w:r>
        <w:t xml:space="preserve"> (Reviewer 3).</w:t>
      </w:r>
    </w:p>
    <w:p>
      <w:pPr>
        <w:pStyle w:val="ListBullet"/>
      </w:pPr>
      <w:r>
        <w:rPr>
          <w:b/>
        </w:rPr>
        <w:t>Cryptographically chained audit ledger</w:t>
      </w:r>
      <w:r>
        <w:t>, not merely "append-only" (Reviewer 4).</w:t>
      </w:r>
    </w:p>
    <w:p>
      <w:pPr>
        <w:pStyle w:val="ListBullet"/>
      </w:pPr>
      <w:r>
        <w:rPr>
          <w:b/>
        </w:rPr>
        <w:t>POSH/ICC divergence</w:t>
      </w:r>
      <w:r>
        <w:t xml:space="preserve"> for harassment (Reviewer 4).</w:t>
      </w:r>
    </w:p>
    <w:p>
      <w:pPr>
        <w:pStyle w:val="ListBullet"/>
      </w:pPr>
      <w:r>
        <w:rPr>
          <w:b/>
        </w:rPr>
        <w:t>DSC/eSign</w:t>
      </w:r>
      <w:r>
        <w:t xml:space="preserve"> legal signing of orders (Reviewer 5).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proposal moves from *"a correct linear due-process workflow for one civil-service regime"* to *"a configurable quasi-judicial case engine with an invariant natural-justice kernel, a jurisdiction overlay (competence + consultation + timelines + dispense-with-inquiry), multi-respondent proceedings, and legally-grade signing/service/audit."* The core is kept; the rigidity, the competence/consultation voids, and the service/signing weaknesses are repaired.</w:t>
      </w:r>
    </w:p>
    <w:p>
      <w:pPr>
        <w:pStyle w:val="Heading3"/>
      </w:pPr>
      <w:r>
        <w:rPr>
          <w:b/>
          <w:color w:val="2E5B9E"/>
          <w:sz w:val="26"/>
        </w:rPr>
        <w:t>3.5 Focused second pass — the FUNDAMENTAL clash (linear procedure vs. configurable template)</w:t>
      </w:r>
    </w:p>
    <w:p>
      <w:r>
        <w:t xml:space="preserve">The instinct to fully generalise into a rules-engine is a real over-engineering hazard (the global guidelines warn against speculative configurability). But a total hard-code fails the stated dual mandate. The synthesis is a </w:t>
      </w:r>
      <w:r>
        <w:rPr>
          <w:b/>
        </w:rPr>
        <w:t>two-layer model</w:t>
      </w:r>
      <w:r>
        <w:t xml:space="preserve">, which is *less* code than a sprawl of jurisdiction-specific </w:t>
      </w:r>
      <w:r>
        <w:rPr>
          <w:rFonts w:ascii="Consolas" w:hAnsi="Consolas"/>
          <w:sz w:val="20"/>
        </w:rPr>
        <w:t>if</w:t>
      </w:r>
      <w:r>
        <w:t xml:space="preserve"> branches:</w:t>
      </w:r>
    </w:p>
    <w:p>
      <w:pPr>
        <w:pStyle w:val="ListBullet"/>
      </w:pPr>
      <w:r>
        <w:rPr>
          <w:b/>
        </w:rPr>
        <w:t>Invariant kernel (always enforced, not configurable):</w:t>
      </w:r>
      <w:r>
        <w:t xml:space="preserve"> notice of charge → genuine opportunity to defend → reasoned finding on evidence → penalty proportionate and not exceeding what was put to the person → independent appeal. These map to existing DI-3/DI-4 plus new proportionality and competence checks. Never parameterise these *away*.</w:t>
      </w:r>
    </w:p>
    <w:p>
      <w:pPr>
        <w:pStyle w:val="ListBullet"/>
      </w:pPr>
      <w:r>
        <w:rPr>
          <w:b/>
        </w:rPr>
        <w:t>Jurisdiction overlay (a `procedure_template` per case_type/jurisdiction, reference data):</w:t>
      </w:r>
      <w:r>
        <w:t xml:space="preserve"> required consultations and their sequence (UPSC/CVC/none/ICC), authority-competence matrix, statutory timelines and floors, dispense-with-inquiry conditions, valid service modes, appeal limitation. Seed the CCS(CCA) template as the default; a corporate template is just different reference data.</w:t>
      </w:r>
    </w:p>
    <w:p>
      <w:r>
        <w:t xml:space="preserve">This resolves C↔current-spec without the rules-engine sprawl D fears: one engine, one kernel, swappable overlay. Recommendation: adopt the two-layer model but cap initial configurability at the overlay items the council named — do </w:t>
      </w:r>
      <w:r>
        <w:rPr>
          <w:b/>
        </w:rPr>
        <w:t>not</w:t>
      </w:r>
      <w:r>
        <w:t xml:space="preserve"> build a generic BPM designer.</w:t>
      </w:r>
    </w:p>
    <w:p>
      <w:pPr>
        <w:pStyle w:val="Heading3"/>
      </w:pPr>
      <w:r>
        <w:rPr>
          <w:b/>
          <w:color w:val="2E5B9E"/>
          <w:sz w:val="26"/>
        </w:rPr>
        <w:t>3.6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signed by authority not competent for that penalty class (Art. 311(1)) → void *ab initio*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reference entity (cadre × penalty_class × authority level) +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 guard at finalise (new DI rule)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order without mandatory UPSC/CVC consultation → set aside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entity + guard blocking finalise until required consultations recorded/closed per procedure_template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lawful "dispense with inquiry" path (Art. 311(2) provisos: conviction / not practicable / security)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inquiry_dispensation</w:t>
            </w:r>
            <w:r>
              <w:rPr>
                <w:sz w:val="18"/>
              </w:rPr>
              <w:t xml:space="preserve"> (reason-coded, authority-recorded) state allowing penalty without inquiry under guarded conditions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Right to inspect listed documents/witnesses not recorded → natural-justice breach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document/witness list-supplied + inspection-afforded events (FR-007) as a defence-stage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Email/notification treated as legal service of charge-sheet/order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Separate </w:t>
            </w:r>
            <w:r>
              <w:rPr>
                <w:rFonts w:ascii="Consolas" w:hAnsi="Consolas"/>
                <w:sz w:val="18"/>
              </w:rPr>
              <w:t>legal_service</w:t>
            </w:r>
            <w:r>
              <w:rPr>
                <w:sz w:val="18"/>
              </w:rPr>
              <w:t xml:space="preserve"> record from informational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; restrict valid </w:t>
            </w:r>
            <w:r>
              <w:rPr>
                <w:rFonts w:ascii="Consolas" w:hAnsi="Consolas"/>
                <w:sz w:val="18"/>
              </w:rPr>
              <w:t>service_mode</w:t>
            </w:r>
            <w:r>
              <w:rPr>
                <w:sz w:val="18"/>
              </w:rPr>
              <w:t xml:space="preserve"> per procedure_template; flag EMAIL as non-statutory by default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Subsistence paid without non-employment certificate; 90-day review has no consequence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non_employment_certificate</w:t>
            </w:r>
            <w:r>
              <w:rPr>
                <w:sz w:val="18"/>
              </w:rPr>
              <w:t xml:space="preserve"> gate to subsistence payment; add deemed-review/auto-flag when charge-memo not served within statutory window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Single-delinquent model cannot run common/joint 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Introduce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(1..N charged officers per proceeding) sharing inquiry/evidence; or documented decision to keep 1:1 with linkage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regime hard-baked; fails global-org configurability mandate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Two-layer model: invariant kernel + </w:t>
            </w:r>
            <w:r>
              <w:rPr>
                <w:rFonts w:ascii="Consolas" w:hAnsi="Consolas"/>
                <w:sz w:val="18"/>
              </w:rPr>
              <w:t>procedure_template</w:t>
            </w:r>
            <w:r>
              <w:rPr>
                <w:sz w:val="18"/>
              </w:rPr>
              <w:t xml:space="preserve"> overlay (consultations, competence, timelines, service modes, limitation)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 modelled as linear stage yet declared parallel → state bugs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Model suspension as parallel interim status flag on case, not a 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>; correct 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pause/resume on stay/remit/condonation unspecified → false breaches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explicit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ledger + recompute 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 xml:space="preserve"> on de novo/condonation/stay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Idempotency-key lifecycle undefined → outbox dedup unproven (double recovery risk)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idempotency store, mint rules, dedup window/TTL; test double-finalise + double post-to-SR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penalty-proportionality rationale / outlier flag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Require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 xml:space="preserve"> on order; analytics flag penalty-vs-misconduct outliers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Mid-proceeding transfer/promotion/retirement changes competent authority; no 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case-jurisdiction transfer event; re-resolve competent DA; freeze promotion via sealed-cover; Rule 9 four-year-bar + sanction guard for retirees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terminal state for abatement (deceased)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order_type=ABATED</w:t>
            </w:r>
            <w:r>
              <w:rPr>
                <w:sz w:val="18"/>
              </w:rPr>
              <w:t xml:space="preserve"> + case_status </w:t>
            </w:r>
            <w:r>
              <w:rPr>
                <w:rFonts w:ascii="Consolas" w:hAnsi="Consolas"/>
                <w:sz w:val="18"/>
              </w:rPr>
              <w:t>ABATED</w:t>
            </w:r>
            <w:r>
              <w:rPr>
                <w:sz w:val="18"/>
              </w:rPr>
              <w:t>; auto-stop SLAs and downstream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"append-only" not cryptographically tamper-evident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Hash-chain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/timeline (prev-hash linkage) for court-grade evidence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POSH/sexual-harassment cases routed through ordinary IO, not 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ICC-procedure template for HARASSMENT (committee composition, timelines) feeding the penalty 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"Signed PDF" without DSC/eSign + timestamp + signatory binding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Mandate DSC/eSign on charge-sheet, orders, inquiry report; store signatory identity +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Departmental inquiry not stayable pending parallel criminal trial on same facts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inquiry </w:t>
            </w:r>
            <w:r>
              <w:rPr>
                <w:rFonts w:ascii="Consolas" w:hAnsi="Consolas"/>
                <w:sz w:val="18"/>
              </w:rPr>
              <w:t>STAYED</w:t>
            </w:r>
            <w:r>
              <w:rPr>
                <w:sz w:val="18"/>
              </w:rPr>
              <w:t xml:space="preserve"> sub-state with reason + SLA pause when </w:t>
            </w:r>
            <w:r>
              <w:rPr>
                <w:rFonts w:ascii="Consolas" w:hAnsi="Consolas"/>
                <w:sz w:val="18"/>
              </w:rPr>
              <w:t>criminal_case_ref</w:t>
            </w:r>
            <w:r>
              <w:rPr>
                <w:sz w:val="18"/>
              </w:rPr>
              <w:t xml:space="preserve">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Charged-officer portal lists documents but not rights/deadlines/entitlements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rights-and-deadlines panel (defence assistant, inspection, personal hearing, appeal limitation) to portal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Recovery-penalty caps (≤1/3 pay, instalments, not beyond retirement except DCRG) unvalidated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recovery-cap validation rules on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Conditional GO — strong core, fix the legality layer before build.</w:t>
      </w:r>
      <w:r>
        <w:t xml:space="preserve"> The natural-justice *sequence* is best-in-class and should be frozen. But the BRD's flagship claim ("legally defensible orders that withstand judicial review") is currently *false for the gravest penalties* because authority competence, mandatory consultation, dispense-with-inquiry, document-inspection, and legal-service-vs-notification are unmodelled. These are not enhancements; they are the difference between a defensible order and a void one. Adopt the two-layer (kernel + overlay) model to satisfy the global-org mandate without a rules-engine sprawl, and add the multi-respondent, POSH, signing, and SLA-pause items. Do </w:t>
      </w:r>
      <w:r>
        <w:rPr>
          <w:b/>
        </w:rPr>
        <w:t>not</w:t>
      </w:r>
      <w:r>
        <w:t xml:space="preserve"> expand into a generic BPM designer — cap configurability at the named overlay items.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t xml:space="preserve">Build the </w:t>
      </w:r>
      <w:r>
        <w:rPr>
          <w:b/>
        </w:rPr>
        <w:t>`authority_competence` reference entity and its finalise-time guard</w:t>
      </w:r>
      <w:r>
        <w:t xml:space="preserve">, seeded for the default jurisdiction, and prove it with one failing-then-passing test: *a </w:t>
      </w:r>
      <w:r>
        <w:rPr>
          <w:rFonts w:ascii="Consolas" w:hAnsi="Consolas"/>
          <w:sz w:val="20"/>
        </w:rPr>
        <w:t>DISMISSAL</w:t>
      </w:r>
      <w:r>
        <w:t xml:space="preserve"> finalised by an authority subordinate to the appointing authority must return </w:t>
      </w:r>
      <w:r>
        <w:rPr>
          <w:rFonts w:ascii="Consolas" w:hAnsi="Consolas"/>
          <w:sz w:val="20"/>
        </w:rPr>
        <w:t>AUTHORITY_NOT_COMPETENT</w:t>
      </w:r>
      <w:r>
        <w:t xml:space="preserve"> and be impossible to persist.* This is the highest-severity, most concrete, and most foundational gap (R1); it also forces the competence/consultation reference data into Track A where every downstream decision guard depends on it. Until that test passes, the spec's central legal promise is unproven.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`authority_competence` reference entity</w:t>
      </w:r>
      <w:r>
        <w:t xml:space="preserve"> (cadre/level × </w:t>
      </w:r>
      <w:r>
        <w:rPr>
          <w:rFonts w:ascii="Consolas" w:hAnsi="Consolas"/>
          <w:sz w:val="20"/>
        </w:rPr>
        <w:t>penalty_class</w:t>
      </w:r>
      <w:r>
        <w:t xml:space="preserve"> × empowered authority level) and a new integrity rule </w:t>
      </w:r>
      <w:r>
        <w:rPr>
          <w:b/>
        </w:rPr>
        <w:t>DI-13: penalty competence</w:t>
      </w:r>
      <w:r>
        <w:t xml:space="preserve"> — finalising any </w:t>
      </w:r>
      <w:r>
        <w:rPr>
          <w:rFonts w:ascii="Consolas" w:hAnsi="Consolas"/>
          <w:sz w:val="20"/>
        </w:rPr>
        <w:t>penalty_items</w:t>
      </w:r>
      <w:r>
        <w:t xml:space="preserve"> row requires the </w:t>
      </w:r>
      <w:r>
        <w:rPr>
          <w:rFonts w:ascii="Consolas" w:hAnsi="Consolas"/>
          <w:sz w:val="20"/>
        </w:rPr>
        <w:t>passed_by</w:t>
      </w:r>
      <w:r>
        <w:t xml:space="preserve"> authority to be competent for that penalty class; otherwise return new error </w:t>
      </w:r>
      <w:r>
        <w:rPr>
          <w:rFonts w:ascii="Consolas" w:hAnsi="Consolas"/>
          <w:sz w:val="20"/>
        </w:rPr>
        <w:t>AUTHORITY_NOT_COMPETENT</w:t>
      </w:r>
      <w:r>
        <w:t xml:space="preserve"> (409). Enforces Article 311(1). *(R1)*</w:t>
      </w:r>
    </w:p>
    <w:p>
      <w:pPr>
        <w:pStyle w:val="ListNumber"/>
      </w:pPr>
      <w:r>
        <w:rPr>
          <w:b/>
        </w:rPr>
        <w:t>Add `case_consultations` entity</w:t>
      </w:r>
      <w:r>
        <w:t xml:space="preserve"> (consultation_type ∈ UPSC / CVC_FIRST_STAGE / CVC_SECOND_STAGE / ICC / LEGAL / NONE; status; advice_document_id; received_date) and </w:t>
      </w:r>
      <w:r>
        <w:rPr>
          <w:b/>
        </w:rPr>
        <w:t>DI-14</w:t>
      </w:r>
      <w:r>
        <w:t xml:space="preserve">: finalise is blocked until every consultation required by the case's </w:t>
      </w:r>
      <w:r>
        <w:rPr>
          <w:rFonts w:ascii="Consolas" w:hAnsi="Consolas"/>
          <w:sz w:val="20"/>
        </w:rPr>
        <w:t>procedure_template</w:t>
      </w:r>
      <w:r>
        <w:t xml:space="preserve"> is recorded and closed. New error </w:t>
      </w:r>
      <w:r>
        <w:rPr>
          <w:rFonts w:ascii="Consolas" w:hAnsi="Consolas"/>
          <w:sz w:val="20"/>
        </w:rPr>
        <w:t>CONSULTATION_PENDING</w:t>
      </w:r>
      <w:r>
        <w:t>. *(R2)*</w:t>
      </w:r>
    </w:p>
    <w:p>
      <w:pPr>
        <w:pStyle w:val="ListNumber"/>
      </w:pPr>
      <w:r>
        <w:rPr>
          <w:b/>
        </w:rPr>
        <w:t>Add a lawful "dispense-with-inquiry" path</w:t>
      </w:r>
      <w:r>
        <w:t xml:space="preserve"> — entity/state </w:t>
      </w:r>
      <w:r>
        <w:rPr>
          <w:rFonts w:ascii="Consolas" w:hAnsi="Consolas"/>
          <w:sz w:val="20"/>
        </w:rPr>
        <w:t>inquiry_dispensation</w:t>
      </w:r>
      <w:r>
        <w:t xml:space="preserve"> with reason code (CRIMINAL_CONVICTION / NOT_REASONABLY_PRACTICABLE / SECURITY_OF_STATE), recorded authority and reasons; permits a guarded penalty order without a full inquiry, satisfying DI-3's major-penalty branch via this documented exception. *(R3)*</w:t>
      </w:r>
    </w:p>
    <w:p>
      <w:pPr>
        <w:pStyle w:val="ListNumber"/>
      </w:pPr>
      <w:r>
        <w:rPr>
          <w:b/>
        </w:rPr>
        <w:t>Add the document/witness-list + inspection right</w:t>
      </w:r>
      <w:r>
        <w:t xml:space="preserve"> to FR-007: a charged officer must be supplied a list of relied-upon documents/witnesses and afforded inspection; record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>; the inquiry cannot proceed to evidence without them (new guard). *(R4)*</w:t>
      </w:r>
    </w:p>
    <w:p>
      <w:pPr>
        <w:pStyle w:val="ListNumber"/>
      </w:pPr>
      <w:r>
        <w:rPr>
          <w:b/>
        </w:rPr>
        <w:t>Separate legal service from notification.</w:t>
      </w:r>
      <w:r>
        <w:t xml:space="preserve"> Introduce a </w:t>
      </w:r>
      <w:r>
        <w:rPr>
          <w:rFonts w:ascii="Consolas" w:hAnsi="Consolas"/>
          <w:sz w:val="20"/>
        </w:rPr>
        <w:t>legal_service</w:t>
      </w:r>
      <w:r>
        <w:t xml:space="preserve"> record (mode, date, proof_document_id, served_by) distinct from the informational </w:t>
      </w:r>
      <w:r>
        <w:rPr>
          <w:rFonts w:ascii="Consolas" w:hAnsi="Consolas"/>
          <w:sz w:val="20"/>
        </w:rPr>
        <w:t>notifications</w:t>
      </w:r>
      <w:r>
        <w:t xml:space="preserve"> ledger; restrict statutorily-valid </w:t>
      </w:r>
      <w:r>
        <w:rPr>
          <w:rFonts w:ascii="Consolas" w:hAnsi="Consolas"/>
          <w:sz w:val="20"/>
        </w:rPr>
        <w:t>service_mode</w:t>
      </w:r>
      <w:r>
        <w:t xml:space="preserve"> values per </w:t>
      </w:r>
      <w:r>
        <w:rPr>
          <w:rFonts w:ascii="Consolas" w:hAnsi="Consolas"/>
          <w:sz w:val="20"/>
        </w:rPr>
        <w:t>procedure_template</w:t>
      </w:r>
      <w:r>
        <w:t xml:space="preserve">; mark </w:t>
      </w:r>
      <w:r>
        <w:rPr>
          <w:rFonts w:ascii="Consolas" w:hAnsi="Consolas"/>
          <w:sz w:val="20"/>
        </w:rPr>
        <w:t>EMAIL</w:t>
      </w:r>
      <w:r>
        <w:t xml:space="preserve"> as non-statutory service by default. *(R5)*</w:t>
      </w:r>
    </w:p>
    <w:p>
      <w:pPr>
        <w:pStyle w:val="ListNumber"/>
      </w:pPr>
      <w:r>
        <w:rPr>
          <w:b/>
        </w:rPr>
        <w:t>Subsistence correctness:</w:t>
      </w:r>
      <w:r>
        <w:t xml:space="preserve"> add </w:t>
      </w:r>
      <w:r>
        <w:rPr>
          <w:rFonts w:ascii="Consolas" w:hAnsi="Consolas"/>
          <w:sz w:val="20"/>
        </w:rPr>
        <w:t>non_employment_certificate_received</w:t>
      </w:r>
      <w:r>
        <w:t xml:space="preserve"> (BOOLEAN + date) as a precondition for subsistence payment events to M10; add automatic flag/escalation and a </w:t>
      </w:r>
      <w:r>
        <w:rPr>
          <w:rFonts w:ascii="Consolas" w:hAnsi="Consolas"/>
          <w:sz w:val="20"/>
        </w:rPr>
        <w:t>deemed_review</w:t>
      </w:r>
      <w:r>
        <w:t xml:space="preserve"> when a charge-memo is not served within the statutory suspension-review window (Ajay Kumar Choudhary 90-day rule). *(R6)*</w:t>
      </w:r>
    </w:p>
    <w:p>
      <w:pPr>
        <w:pStyle w:val="ListNumber"/>
      </w:pPr>
      <w:r>
        <w:rPr>
          <w:b/>
        </w:rPr>
        <w:t>Support common/joint proceedings:</w:t>
      </w:r>
      <w:r>
        <w:t xml:space="preserve"> introduce </w:t>
      </w:r>
      <w:r>
        <w:rPr>
          <w:rFonts w:ascii="Consolas" w:hAnsi="Consolas"/>
          <w:sz w:val="20"/>
        </w:rPr>
        <w:t>case_respondents</w:t>
      </w:r>
      <w:r>
        <w:t xml:space="preserve"> (1..N charged officers per proceeding) so one inquiry, witness set, exhibit set, and order can cover co-delinquents with article-wise per-respondent findings — or, if 1:1 is retained, add explicit </w:t>
      </w:r>
      <w:r>
        <w:rPr>
          <w:rFonts w:ascii="Consolas" w:hAnsi="Consolas"/>
          <w:sz w:val="20"/>
        </w:rPr>
        <w:t>related_case_id</w:t>
      </w:r>
      <w:r>
        <w:t xml:space="preserve"> linkage and consistency checks. *(R7)*</w:t>
      </w:r>
    </w:p>
    <w:p>
      <w:pPr>
        <w:pStyle w:val="ListNumber"/>
      </w:pPr>
      <w:r>
        <w:rPr>
          <w:b/>
        </w:rPr>
        <w:t>Adopt the two-layer procedure model:</w:t>
      </w:r>
      <w:r>
        <w:t xml:space="preserve"> add a </w:t>
      </w:r>
      <w:r>
        <w:rPr>
          <w:rFonts w:ascii="Consolas" w:hAnsi="Consolas"/>
          <w:sz w:val="20"/>
        </w:rPr>
        <w:t>procedure_template</w:t>
      </w:r>
      <w:r>
        <w:t xml:space="preserve"> reference entity (per case_type/jurisdiction) carrying required consultations, competence matrix reference, statutory timelines/floors, valid service modes, appeal limitation, and dispense-with-inquiry conditions; keep the natural-justice kernel (DI-3/DI-4/proportionality/competence) invariant and non-configurable. Seed CCS(CCA) as default; corporate regimes become alternate templates. *(R8)*</w:t>
      </w:r>
    </w:p>
    <w:p>
      <w:pPr>
        <w:pStyle w:val="ListNumber"/>
      </w:pPr>
      <w:r>
        <w:rPr>
          <w:b/>
        </w:rPr>
        <w:t>Fix the suspension ontology:</w:t>
      </w:r>
      <w:r>
        <w:t xml:space="preserve"> model suspension as a </w:t>
      </w:r>
      <w:r>
        <w:rPr>
          <w:b/>
        </w:rPr>
        <w:t>parallel interim status</w:t>
      </w:r>
      <w:r>
        <w:t xml:space="preserve"> (boolean/status on the case + the </w:t>
      </w:r>
      <w:r>
        <w:rPr>
          <w:rFonts w:ascii="Consolas" w:hAnsi="Consolas"/>
          <w:sz w:val="20"/>
        </w:rPr>
        <w:t>suspensions</w:t>
      </w:r>
      <w:r>
        <w:t xml:space="preserve"> entity) rather than a linear </w:t>
      </w:r>
      <w:r>
        <w:rPr>
          <w:rFonts w:ascii="Consolas" w:hAnsi="Consolas"/>
          <w:sz w:val="20"/>
        </w:rPr>
        <w:t>case_stage</w:t>
      </w:r>
      <w:r>
        <w:t xml:space="preserve">; remove </w:t>
      </w:r>
      <w:r>
        <w:rPr>
          <w:rFonts w:ascii="Consolas" w:hAnsi="Consolas"/>
          <w:sz w:val="20"/>
        </w:rPr>
        <w:t>SUSPENSION</w:t>
      </w:r>
      <w:r>
        <w:t xml:space="preserve"> from the linear stage sequence in §12.1 and represent it as an orthogonal track. *(R9)*</w:t>
      </w:r>
    </w:p>
    <w:p>
      <w:pPr>
        <w:pStyle w:val="ListNumber"/>
      </w:pPr>
      <w:r>
        <w:rPr>
          <w:b/>
        </w:rPr>
        <w:t>Add an SLA pause/resume model:</w:t>
      </w:r>
      <w:r>
        <w:t xml:space="preserve"> new </w:t>
      </w:r>
      <w:r>
        <w:rPr>
          <w:rFonts w:ascii="Consolas" w:hAnsi="Consolas"/>
          <w:sz w:val="20"/>
        </w:rPr>
        <w:t>sla_pause_events</w:t>
      </w:r>
      <w:r>
        <w:t xml:space="preserve"> (reason ∈ STAY / REMIT / CONDONATION / CONSULTATION / CRIMINAL_STAY; from/to) and recomputation of </w:t>
      </w:r>
      <w:r>
        <w:rPr>
          <w:rFonts w:ascii="Consolas" w:hAnsi="Consolas"/>
          <w:sz w:val="20"/>
        </w:rPr>
        <w:t>expected_closure_date</w:t>
      </w:r>
      <w:r>
        <w:t xml:space="preserve"> and </w:t>
      </w:r>
      <w:r>
        <w:rPr>
          <w:rFonts w:ascii="Consolas" w:hAnsi="Consolas"/>
          <w:sz w:val="20"/>
        </w:rPr>
        <w:t>sla_target_at</w:t>
      </w:r>
      <w:r>
        <w:t xml:space="preserve"> on de novo, condonation, and stays — preventing false breach reporting. *(R10)*</w:t>
      </w:r>
    </w:p>
    <w:p>
      <w:pPr>
        <w:pStyle w:val="ListNumber"/>
      </w:pPr>
      <w:r>
        <w:rPr>
          <w:b/>
        </w:rPr>
        <w:t>Define idempotency-key lifecycle:</w:t>
      </w:r>
      <w:r>
        <w:t xml:space="preserve"> specify minting (client vs server), a dedup store, and a retention/TTL window for </w:t>
      </w:r>
      <w:r>
        <w:rPr>
          <w:rFonts w:ascii="Consolas" w:hAnsi="Consolas"/>
          <w:sz w:val="20"/>
        </w:rPr>
        <w:t>Idempotency-Key</w:t>
      </w:r>
      <w:r>
        <w:t xml:space="preserve"> on suspension, finalise, and post-to-SR; add tests for double-finalise and double post-to-SR producing exactly one effect. *(R11)*</w:t>
      </w:r>
    </w:p>
    <w:p>
      <w:pPr>
        <w:pStyle w:val="ListNumber"/>
      </w:pPr>
      <w:r>
        <w:rPr>
          <w:b/>
        </w:rPr>
        <w:t>Require penalty proportionality rationale:</w:t>
      </w:r>
      <w:r>
        <w:t xml:space="preserve"> add </w:t>
      </w:r>
      <w:r>
        <w:rPr>
          <w:rFonts w:ascii="Consolas" w:hAnsi="Consolas"/>
          <w:sz w:val="20"/>
        </w:rPr>
        <w:t>proportionality_reasoning</w:t>
      </w:r>
      <w:r>
        <w:t xml:space="preserve"> (TEXT, mandatory) to </w:t>
      </w:r>
      <w:r>
        <w:rPr>
          <w:rFonts w:ascii="Consolas" w:hAnsi="Consolas"/>
          <w:sz w:val="20"/>
        </w:rPr>
        <w:t>penalty_orders</w:t>
      </w:r>
      <w:r>
        <w:t xml:space="preserve"> and an analytics outlier flag (penalty severity vs misconduct_category/precedent) in FR-016, supporting proportionality/Wednesbury review. *(R12)*</w:t>
      </w:r>
    </w:p>
    <w:p>
      <w:pPr>
        <w:pStyle w:val="ListNumber"/>
      </w:pPr>
      <w:r>
        <w:rPr>
          <w:b/>
        </w:rPr>
        <w:t>Handle mid-proceeding jurisdiction changes:</w:t>
      </w:r>
      <w:r>
        <w:t xml:space="preserve"> add a case-jurisdiction-transfer event that re-resolves the competent DA when the charged officer is transferred/promoted (M05/M06); add a </w:t>
      </w:r>
      <w:r>
        <w:rPr>
          <w:b/>
        </w:rPr>
        <w:t>sealed-cover</w:t>
      </w:r>
      <w:r>
        <w:t xml:space="preserve"> mechanism to freeze promotion recommendations while proceedings are pending; add a Rule 9 </w:t>
      </w:r>
      <w:r>
        <w:rPr>
          <w:b/>
        </w:rPr>
        <w:t>four-year time-bar</w:t>
      </w:r>
      <w:r>
        <w:t xml:space="preserve"> guard and required government/President sanction for proceedings against retired employees. *(R13)*</w:t>
      </w:r>
    </w:p>
    <w:p>
      <w:pPr>
        <w:pStyle w:val="ListNumber"/>
      </w:pPr>
      <w:r>
        <w:rPr>
          <w:b/>
        </w:rPr>
        <w:t>Add abatement terminal handling:</w:t>
      </w:r>
      <w:r>
        <w:t xml:space="preserve"> extend </w:t>
      </w:r>
      <w:r>
        <w:rPr>
          <w:rFonts w:ascii="Consolas" w:hAnsi="Consolas"/>
          <w:sz w:val="20"/>
        </w:rPr>
        <w:t>order_type</w:t>
      </w:r>
      <w:r>
        <w:t xml:space="preserve"> with </w:t>
      </w:r>
      <w:r>
        <w:rPr>
          <w:rFonts w:ascii="Consolas" w:hAnsi="Consolas"/>
          <w:sz w:val="20"/>
        </w:rPr>
        <w:t>ABATED</w:t>
      </w:r>
      <w:r>
        <w:t xml:space="preserve"> and </w:t>
      </w:r>
      <w:r>
        <w:rPr>
          <w:rFonts w:ascii="Consolas" w:hAnsi="Consolas"/>
          <w:sz w:val="20"/>
        </w:rPr>
        <w:t>case_status</w:t>
      </w:r>
      <w:r>
        <w:t xml:space="preserve"> with </w:t>
      </w:r>
      <w:r>
        <w:rPr>
          <w:rFonts w:ascii="Consolas" w:hAnsi="Consolas"/>
          <w:sz w:val="20"/>
        </w:rPr>
        <w:t>ABATED</w:t>
      </w:r>
      <w:r>
        <w:t>; on charged-officer death, auto-close the case, stop SLAs, and suppress downstream penalty effects. *(R14)*</w:t>
      </w:r>
    </w:p>
    <w:p>
      <w:pPr>
        <w:pStyle w:val="ListNumber"/>
      </w:pPr>
      <w:r>
        <w:rPr>
          <w:b/>
        </w:rPr>
        <w:t>Make the audit ledger court-grade:</w:t>
      </w:r>
      <w:r>
        <w:t xml:space="preserve"> hash-chain </w:t>
      </w:r>
      <w:r>
        <w:rPr>
          <w:rFonts w:ascii="Consolas" w:hAnsi="Consolas"/>
          <w:sz w:val="20"/>
        </w:rPr>
        <w:t>audit_log</w:t>
      </w:r>
      <w:r>
        <w:t xml:space="preserve"> and </w:t>
      </w:r>
      <w:r>
        <w:rPr>
          <w:rFonts w:ascii="Consolas" w:hAnsi="Consolas"/>
          <w:sz w:val="20"/>
        </w:rPr>
        <w:t>case_timeline_events</w:t>
      </w:r>
      <w:r>
        <w:t xml:space="preserve"> (each row stores the prior row's hash) so tamper-evidence is cryptographic, not merely "append-only by policy"; expose a verify endpoint. *(R15)*</w:t>
      </w:r>
    </w:p>
    <w:p>
      <w:pPr>
        <w:pStyle w:val="ListNumber"/>
      </w:pPr>
      <w:r>
        <w:rPr>
          <w:b/>
        </w:rPr>
        <w:t>Add a POSH/ICC procedure template</w:t>
      </w:r>
      <w:r>
        <w:t xml:space="preserve"> for </w:t>
      </w:r>
      <w:r>
        <w:rPr>
          <w:rFonts w:ascii="Consolas" w:hAnsi="Consolas"/>
          <w:sz w:val="20"/>
        </w:rPr>
        <w:t>misconduct_category=HARASSMENT</w:t>
      </w:r>
      <w:r>
        <w:t>: model an Internal Committee (composition, presiding officer, external member, timelines) whose report feeds the penalty stage in place of the ordinary IO route, satisfying POSH Act 2013. *(R16)*</w:t>
      </w:r>
    </w:p>
    <w:p>
      <w:pPr>
        <w:pStyle w:val="ListNumber"/>
      </w:pPr>
      <w:r>
        <w:rPr>
          <w:b/>
        </w:rPr>
        <w:t>Mandate digital signing:</w:t>
      </w:r>
      <w:r>
        <w:t xml:space="preserve"> require DSC/eSign with trusted timestamp and bound signatory identity on charge-sheets, inquiry reports, show-cause notices, and orders; store signature metadata on </w:t>
      </w:r>
      <w:r>
        <w:rPr>
          <w:rFonts w:ascii="Consolas" w:hAnsi="Consolas"/>
          <w:sz w:val="20"/>
        </w:rPr>
        <w:t>case_documents</w:t>
      </w:r>
      <w:r>
        <w:t>/order records (not merely "signed PDF"). *(R17)*</w:t>
      </w:r>
    </w:p>
    <w:p>
      <w:pPr>
        <w:pStyle w:val="ListNumber"/>
      </w:pPr>
      <w:r>
        <w:rPr>
          <w:b/>
        </w:rPr>
        <w:t>Add an inquiry `STAYED` sub-state</w:t>
      </w:r>
      <w:r>
        <w:t xml:space="preserve"> with reason and automatic SLA pause when a parallel criminal trial on the same facts is active (</w:t>
      </w:r>
      <w:r>
        <w:rPr>
          <w:rFonts w:ascii="Consolas" w:hAnsi="Consolas"/>
          <w:sz w:val="20"/>
        </w:rPr>
        <w:t>criminal_case_ref</w:t>
      </w:r>
      <w:r>
        <w:t xml:space="preserve"> set), preventing prejudice and false SLA breaches. *(R18)*</w:t>
      </w:r>
    </w:p>
    <w:p>
      <w:pPr>
        <w:pStyle w:val="ListNumber"/>
      </w:pPr>
      <w:r>
        <w:rPr>
          <w:b/>
        </w:rPr>
        <w:t>Upgrade the Charged-Officer Portal</w:t>
      </w:r>
      <w:r>
        <w:t xml:space="preserve"> to a rights-and-deadlines surface: surface entitlements (defence assistant, document inspection, personal hearing, appeal limitation countdown) and statutory deadlines, not just a served-document list. *(R19)*</w:t>
      </w:r>
    </w:p>
    <w:p>
      <w:pPr>
        <w:pStyle w:val="ListNumber"/>
      </w:pPr>
      <w:r>
        <w:rPr>
          <w:b/>
        </w:rPr>
        <w:t>Validate recovery-penalty caps:</w:t>
      </w:r>
      <w:r>
        <w:t xml:space="preserve"> add rules on </w:t>
      </w:r>
      <w:r>
        <w:rPr>
          <w:rFonts w:ascii="Consolas" w:hAnsi="Consolas"/>
          <w:sz w:val="20"/>
        </w:rPr>
        <w:t>penalty_items</w:t>
      </w:r>
      <w:r>
        <w:t xml:space="preserve"> for RECOVERY/FINE — instalment limits, ceiling relative to pay (e.g. ≤1/3), and no recovery beyond retirement except from DCRG — surfaced as validation before downstream emit. *(R20)*</w:t>
      </w:r>
    </w:p>
    <w:p>
      <w:pPr>
        <w:pStyle w:val="ListNumber"/>
      </w:pPr>
      <w:r>
        <w:rPr>
          <w:b/>
        </w:rPr>
        <w:t>Add a personal-hearing record</w:t>
      </w:r>
      <w:r>
        <w:t xml:space="preserve"> (entity or sub-record) for show-cause and appeal stages, since the right to a personal hearing is referenced as an edge case but not modelled, and its denial is challengeable.</w:t>
      </w:r>
    </w:p>
    <w:p>
      <w:pPr>
        <w:pStyle w:val="ListNumber"/>
      </w:pPr>
      <w:r>
        <w:rPr>
          <w:b/>
        </w:rPr>
        <w:t>Add a fast-lane UI path</w:t>
      </w:r>
      <w:r>
        <w:t xml:space="preserve"> for minor-track / admitted / single-respondent cases (≈4 screens) that reuses the *same* integrity rules and audit chain — simplifying the common case without thinning legal defensibility (resolves the simplify-vs-rigour clash at UI altitude only).</w:t>
      </w:r>
    </w:p>
    <w:p>
      <w:pPr>
        <w:pStyle w:val="ListNumber"/>
      </w:pPr>
      <w:r>
        <w:rPr>
          <w:b/>
        </w:rPr>
        <w:t>Block DA-as-complainant/witness bias:</w:t>
      </w:r>
      <w:r>
        <w:t xml:space="preserve"> extend DI-2 so the Disciplinary Authority cannot also be the complainant or a witness on the same case (nemo judex in causa sua), not only that the charged officer cannot be IO/PO/DA.</w:t>
      </w:r>
    </w:p>
    <w:p>
      <w:pPr>
        <w:pStyle w:val="ListNumber"/>
      </w:pPr>
      <w:r>
        <w:rPr>
          <w:b/>
        </w:rPr>
        <w:t>Disclose adverse PI material when relied upon:</w:t>
      </w:r>
      <w:r>
        <w:t xml:space="preserve"> clarify that while the preliminary-inquiry report is normally not served, any PI material *relied upon as evidence* in the inquiry must be disclosed to the charged officer, with a served/relied-upon flag — closing a subtle natural-justice gap in DI-9/§3.3.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