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Idea Evaluator — Council Report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M14 Dashboard &amp; Analytics BRD (v1.0) — Stress Test for World-Class Public-Sector HRMS</w:t>
      </w:r>
    </w:p>
    <w:p>
      <w:r>
        <w:rPr>
          <w:b/>
        </w:rPr>
        <w:t>Artefact under evaluation:</w:t>
      </w:r>
      <w:r>
        <w:t xml:space="preserve"> </w:t>
      </w:r>
      <w:r>
        <w:rPr>
          <w:rFonts w:ascii="Consolas" w:hAnsi="Consolas"/>
          <w:sz w:val="20"/>
        </w:rPr>
        <w:t>/Users/n15318/hrms/docs/brd/v1/M14-dashboard-and-analytics.md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Dashboard &amp; Analytics BRD complete, correct, and world-class (role-based dashboards, workforce/operational/compliance analytics, self-service report builder, governed KPI definitions, analytics data-mart with RLS mirroring RBAC, predictive analytics) for a leading global organisation's HRMS with public-sector statutory needs —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is, frankly, one of the strongest analytics BRDs I have reviewed against the Workday Prism / SuccessFactors People Analytics / Oracle OTBI bar. It does the three things most enterprise analytics programs get wrong, right, and up front. </w:t>
      </w:r>
      <w:r>
        <w:rPr>
          <w:b/>
        </w:rPr>
        <w:t>First, governance of the metric layer.</w:t>
      </w:r>
      <w:r>
        <w:t xml:space="preserve"> The </w:t>
      </w:r>
      <w:r>
        <w:rPr>
          <w:rFonts w:ascii="Consolas" w:hAnsi="Consolas"/>
          <w:sz w:val="20"/>
        </w:rPr>
        <w:t>kpi_definition</w:t>
      </w:r>
      <w:r>
        <w:t xml:space="preserve"> registry (E03) with versioning, a whitelisted aggregation DSL, maker-checker activation (DI rule 10, AC6 of FR-02), </w:t>
      </w:r>
      <w:r>
        <w:rPr>
          <w:rFonts w:ascii="Consolas" w:hAnsi="Consolas"/>
          <w:sz w:val="20"/>
        </w:rPr>
        <w:t>dimensions_allowed</w:t>
      </w:r>
      <w:r>
        <w:t>, sensitivity tiering, and the hard rule that every measure-bearing widget must bind to an ACTIVE KPI or saved report (DI rule 1) — this is exactly how you kill "the same KPI computed three ways." Most suites bolt governance on after the dashboards exist; here it is the spine.</w:t>
      </w:r>
    </w:p>
    <w:p>
      <w:r>
        <w:rPr>
          <w:b/>
        </w:rPr>
        <w:t>Second, security as a first-class data concern, not a UI afterthought.</w:t>
      </w:r>
      <w:r>
        <w:t xml:space="preserve"> RLS is non-bypassable (DI rule 3, FR-04 AC4 </w:t>
      </w:r>
      <w:r>
        <w:rPr>
          <w:rFonts w:ascii="Consolas" w:hAnsi="Consolas"/>
          <w:sz w:val="20"/>
        </w:rPr>
        <w:t>RLS_SCOPE_UNRESOLVED</w:t>
      </w:r>
      <w:r>
        <w:t>), the effective dataset is explicitly the *intersection* of capability grant and data scope (BR1/§3.2 note), embed tokens and NL query inherit the same RLS (FR-15 BR2), and there is a mandated automated scope-leak test matrix gating launch (FR-04 AC6, §13.4). That launch-gate is best-in-class — leakage is treated as a release blocker, not a bug.</w:t>
      </w:r>
    </w:p>
    <w:p>
      <w:r>
        <w:rPr>
          <w:b/>
        </w:rPr>
        <w:t>Third, freshness honesty.</w:t>
      </w:r>
      <w:r>
        <w:t xml:space="preserve"> FR-12 elevates </w:t>
      </w:r>
      <w:r>
        <w:rPr>
          <w:rFonts w:ascii="Consolas" w:hAnsi="Consolas"/>
          <w:sz w:val="20"/>
        </w:rPr>
        <w:t>data_as_of</w:t>
      </w:r>
      <w:r>
        <w:t xml:space="preserve"> and staleness to a cross-cutting contract returned in every </w:t>
      </w:r>
      <w:r>
        <w:rPr>
          <w:rFonts w:ascii="Consolas" w:hAnsi="Consolas"/>
          <w:sz w:val="20"/>
        </w:rPr>
        <w:t>dataFreshness</w:t>
      </w:r>
      <w:r>
        <w:t xml:space="preserve"> block, with fail-safe-to-not-fresh on health lookup failure and WCAG non-colour cues. Decision-makers are never silently fed stale numbers — a discipline even tier-1 suites fudge.</w:t>
      </w:r>
    </w:p>
    <w:p>
      <w:r>
        <w:t xml:space="preserve">The public-sector layer is genuine, not cosmetic: reservation roster compliance, SR verification read-only from M12, sanctioned-vs-filled vacancy, retirement profiling, mandatory-training mandate tracking, and audit-grade exports with methodology footnotes. Predictive analytics is correctly fenced as </w:t>
      </w:r>
      <w:r>
        <w:rPr>
          <w:b/>
        </w:rPr>
        <w:t>advisory</w:t>
      </w:r>
      <w:r>
        <w:t xml:space="preserve"> and never written back (DI rule 13). The traceability matrix, dependency graph, parallel-agent plan, and 0-gap reconciliation table make this buildable by a fleet. The architecture call — a governed mart layer rather than ad-hoc OLTP cross-joins — is the correct CQRS posture for 100k+ employees. This is a credible foundation; my fellow advisors will find edges, but the skeleton is sound.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>The skeleton is sound; several load-bearing joints will fail under audit and adversary. Non-obvious failure modes:</w:t>
      </w:r>
    </w:p>
    <w:p>
      <w:r>
        <w:rPr>
          <w:b/>
        </w:rPr>
        <w:t>1. Aggregate differencing defeats RLS even with zero record leakage.</w:t>
      </w:r>
      <w:r>
        <w:t xml:space="preserve"> Small-cell suppression (k=5) is applied only to *drill-through and demographic breakdowns* (FR-10 AC6, §16.4). The KPI tiles themselves are not suppressed. In a 3-person sub-office, </w:t>
      </w:r>
      <w:r>
        <w:rPr>
          <w:rFonts w:ascii="Consolas" w:hAnsi="Consolas"/>
          <w:sz w:val="20"/>
        </w:rPr>
        <w:t>HEADCOUNT_ACTIVE</w:t>
      </w:r>
      <w:r>
        <w:t xml:space="preserve"> + </w:t>
      </w:r>
      <w:r>
        <w:rPr>
          <w:rFonts w:ascii="Consolas" w:hAnsi="Consolas"/>
          <w:sz w:val="20"/>
        </w:rPr>
        <w:t>ATTRITION_RATE</w:t>
      </w:r>
      <w:r>
        <w:t xml:space="preserve"> + a one-person delta between periods re-identifies the leaver and their reason. Differencing two overlapping scopes (this-month vs last-month, with-vs-without one unit) reconstructs individuals the RLS filter was meant to hide. The BRD has row-level security but </w:t>
      </w:r>
      <w:r>
        <w:rPr>
          <w:b/>
        </w:rPr>
        <w:t>no complementary-suppression or minimum-aggregation-threshold rule on the metrics</w:t>
      </w:r>
      <w:r>
        <w:t>. This is the risk the author missed.</w:t>
      </w:r>
    </w:p>
    <w:p>
      <w:r>
        <w:rPr>
          <w:b/>
        </w:rPr>
        <w:t>2. KPI definition drift is silently baked into trends.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 (E04) stores </w:t>
      </w:r>
      <w:r>
        <w:rPr>
          <w:rFonts w:ascii="Consolas" w:hAnsi="Consolas"/>
          <w:sz w:val="20"/>
        </w:rPr>
        <w:t>kpi_id</w:t>
      </w:r>
      <w:r>
        <w:t xml:space="preserve"> but </w:t>
      </w:r>
      <w:r>
        <w:rPr>
          <w:b/>
        </w:rPr>
        <w:t>no `kpi_version`</w:t>
      </w:r>
      <w:r>
        <w:t xml:space="preserve">. Re-version </w:t>
      </w:r>
      <w:r>
        <w:rPr>
          <w:rFonts w:ascii="Consolas" w:hAnsi="Consolas"/>
          <w:sz w:val="20"/>
        </w:rPr>
        <w:t>ATTRITION_RATE</w:t>
      </w:r>
      <w:r>
        <w:t xml:space="preserve"> (change the denominator from headcount to FTE), and the trend line splices v1 and v2 snapshots under one </w:t>
      </w:r>
      <w:r>
        <w:rPr>
          <w:rFonts w:ascii="Consolas" w:hAnsi="Consolas"/>
          <w:sz w:val="20"/>
        </w:rPr>
        <w:t>kpi_code</w:t>
      </w:r>
      <w:r>
        <w:t xml:space="preserve"> with no discontinuity marker. The "same number computed the same way" guarantee holds only forward, never across the historical series an executive actually stares at.</w:t>
      </w:r>
    </w:p>
    <w:p>
      <w:r>
        <w:rPr>
          <w:b/>
        </w:rPr>
        <w:t>3. Reconciliation tolerance 0 vs CDC lag is self-contradictory.</w:t>
      </w:r>
      <w:r>
        <w:t xml:space="preserve"> DI rule 11 / FR-03 AC5 flag the mart DEGRADED when a reconcilable count varies beyond tolerance (default 0). But marts are eventually consistent (30–60 min CDC). At almost any instant, mart headcount ≠ live source headcount. A literal 0 tolerance will paint half the estate DEGRADED permanently, training users to ignore the badge — destroying the freshness contract the BRD is so proud of.</w:t>
      </w:r>
    </w:p>
    <w:p>
      <w:r>
        <w:rPr>
          <w:b/>
        </w:rPr>
        <w:t>4. Predictive bias is unaddressed in a reservation-category context.</w:t>
      </w:r>
      <w:r>
        <w:t xml:space="preserve"> Attrition risk blends "leave patterns" and "promotion stagnation" (FR-13). In Indian public service, leave patterns proxy maternity, disability, and caste-correlated phenomena; promotion stagnation proxies reservation roster dynamics. The BRD mandates *explainability* but </w:t>
      </w:r>
      <w:r>
        <w:rPr>
          <w:b/>
        </w:rPr>
        <w:t>no fairness/adverse-impact testing, no protected-attribute exclusion, and no prohibition on using a HIGH score against an individual</w:t>
      </w:r>
      <w:r>
        <w:t>. "Advisory label" is not a control — a manager will act on it. This is a DPDP and constitutional-equality landmine.</w:t>
      </w:r>
    </w:p>
    <w:p>
      <w:r>
        <w:rPr>
          <w:b/>
        </w:rPr>
        <w:t>5. The access_log write-on-every-read is a performance and integrity bomb</w:t>
      </w:r>
      <w:r>
        <w:t xml:space="preserve"> (see Executor). And </w:t>
      </w:r>
      <w:r>
        <w:rPr>
          <w:b/>
        </w:rPr>
        <w:t>RLS policy edits have no maker-checker</w:t>
      </w:r>
      <w:r>
        <w:t xml:space="preserve"> — the single most dangerous mutation in the system (</w:t>
      </w:r>
      <w:r>
        <w:rPr>
          <w:rFonts w:ascii="Consolas" w:hAnsi="Consolas"/>
          <w:sz w:val="20"/>
        </w:rPr>
        <w:t>filter_expression</w:t>
      </w:r>
      <w:r>
        <w:t xml:space="preserve"> → </w:t>
      </w:r>
      <w:r>
        <w:rPr>
          <w:rFonts w:ascii="Consolas" w:hAnsi="Consolas"/>
          <w:sz w:val="20"/>
        </w:rPr>
        <w:t>TRUE</w:t>
      </w:r>
      <w:r>
        <w:t>) is an unchecked Sys Admin update (§3.2). One typo silently opens the enterprise.</w:t>
      </w:r>
    </w:p>
    <w:p>
      <w:pPr>
        <w:pStyle w:val="Heading3"/>
      </w:pPr>
      <w:r>
        <w:rPr>
          <w:b/>
          <w:color w:val="2E5B9E"/>
          <w:sz w:val="26"/>
        </w:rPr>
        <w:t>Advisor 3 — The First-Principles Thinker</w:t>
      </w:r>
    </w:p>
    <w:p>
      <w:r>
        <w:t xml:space="preserve">Strip it to physics. </w:t>
      </w:r>
      <w:r>
        <w:rPr>
          <w:b/>
        </w:rPr>
        <w:t>Question 1: separate analytics layer vs query the operational DB?</w:t>
      </w:r>
      <w:r>
        <w:t xml:space="preserve"> Correct call, but for a reason the BRD under-states: it is not mainly about performance, it is about *temporal semantics*. An OLTP row answers "what is true now"; analytics must answer "what was true as known on date X" — for audit, restatement, and statutory defensibility. The mart is right, but the BRD then </w:t>
      </w:r>
      <w:r>
        <w:rPr>
          <w:b/>
        </w:rPr>
        <w:t>violates its own temporal logic</w:t>
      </w:r>
      <w:r>
        <w:t xml:space="preserve">: </w:t>
      </w:r>
      <w:r>
        <w:rPr>
          <w:rFonts w:ascii="Consolas" w:hAnsi="Consolas"/>
          <w:sz w:val="20"/>
        </w:rPr>
        <w:t>kpi_snapshot</w:t>
      </w:r>
      <w:r>
        <w:t xml:space="preserve"> is append-only and immutable (DI rule 12), yet FR-02 edge cases say "retroactive mart backfill triggers snapshot recompute." A backdated leave approval or a payroll correction changes a *historical* period's truth. You cannot both freeze the snapshot and restate it. The missing primitive is </w:t>
      </w:r>
      <w:r>
        <w:rPr>
          <w:b/>
        </w:rPr>
        <w:t>bitemporality</w:t>
      </w:r>
      <w:r>
        <w:t>: every snapshot needs a *valid-time* (period it describes) and a *knowledge-time* (when we knew it), so a correction creates a new knowledge-version rather than mutating or contradicting history. Without this, an auditor pulling "the June report" in June and again in September gets two different numbers with no reconciling lineage — fatal in government.</w:t>
      </w:r>
    </w:p>
    <w:p>
      <w:r>
        <w:rPr>
          <w:b/>
        </w:rPr>
        <w:t>Question 2: build vs embedded BI?</w:t>
      </w:r>
      <w:r>
        <w:t xml:space="preserve"> The BRD silently assumes "build everything." It specifies a custom DSL parser, a semantic layer, a materialised-view manager, a query compiler, a bursting engine, a scheduler, an NL-to-query intent resolver, and signed embed tokens. That is </w:t>
      </w:r>
      <w:r>
        <w:rPr>
          <w:b/>
        </w:rPr>
        <w:t>re-implementing Superset/Metabase/Power-BI-Embedded from scratch</w:t>
      </w:r>
      <w:r>
        <w:t>. The genuinely differentiated, must-build assets are: the *governed KPI registry*, the *RLS-into-every-query rewriter*, and the *freshness contract*. The commodity machinery (charting, scheduling, export rendering, embed) is a buy/adopt decision the BRD never surfaces as a choice. That is a hidden assumption worth tens of person-months.</w:t>
      </w:r>
    </w:p>
    <w:p>
      <w:r>
        <w:rPr>
          <w:b/>
        </w:rPr>
        <w:t>Hidden assumption 3: "sanctioned strength" has an owner.</w:t>
      </w:r>
      <w:r>
        <w:t xml:space="preserve"> Vacancy = sanctioned − filled (FR-05 BR1) presupposes an </w:t>
      </w:r>
      <w:r>
        <w:rPr>
          <w:b/>
        </w:rPr>
        <w:t>establishment / position-management master</w:t>
      </w:r>
      <w:r>
        <w:t xml:space="preserve"> (posts, sanctioned strength, roster points). None of M01–M13 owns posts — they own *people*. The BRD references "establishment reference data" as if it exists. It does not. Position management is the missing upstream system of record; without it, vacancy and reservation compliance — the headline public-sector metrics — have no authoritative denominator.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a department head, not a data engineer, and I will judge whether I can *trust and use* this. Mostly yes — and that is the point of a dashboard — but the document leaks complexity onto people who shouldn't carry it.</w:t>
      </w:r>
    </w:p>
    <w:p>
      <w:r>
        <w:rPr>
          <w:b/>
        </w:rPr>
        <w:t>Jargon that will not survive contact with a Secretary:</w:t>
      </w:r>
      <w:r>
        <w:t xml:space="preserve"> "watermark," "CDC," "semantic layer," "materialised view," "k-anonymity," "complementary suppression," "DELTA_PCT operator," "idempotent incremental load." These belong in the Data Engineer console, fine. But "is_partial," "DEGRADED," and "NO_DATA" will appear on *my* screen. The freshness chip story (green/amber/red + tooltip) is good; the *vocabulary* in the tooltip ("reconciliation variance / partial load") is not language a leader parses under time pressure. I need "Numbers are a day behind — payroll system still updating," not "DEGRADED: reconciliation variance &gt; tolerance."</w:t>
      </w:r>
    </w:p>
    <w:p>
      <w:r>
        <w:rPr>
          <w:b/>
        </w:rPr>
        <w:t>Trust assumption the BRD makes and I won't grant for free:</w:t>
      </w:r>
      <w:r>
        <w:t xml:space="preserve"> that I will read and believe a predictive score labelled "Advisory." Real behaviour: a HIGH attrition badge next to a named officer *becomes* a decision input the moment I see it, label or not. The document treats the disclaimer as the control. It isn't. I need the *individual* score gated behind a deliberate action with a friction prompt, not surfaced on a hover.</w:t>
      </w:r>
    </w:p>
    <w:p>
      <w:r>
        <w:rPr>
          <w:b/>
        </w:rPr>
        <w:t>Complexity that will generate IT tickets despite the "no-IT-tickets" promise (G5):</w:t>
      </w:r>
      <w:r>
        <w:t xml:space="preserve"> the report builder is genuinely three-pane no-code, good. But "aggregated reports over RESTRICTED marts are permitted; detail-level requires authority" (FR-08 BR3) is a distinction I will get wrong constantly, hit </w:t>
      </w:r>
      <w:r>
        <w:rPr>
          <w:rFonts w:ascii="Consolas" w:hAnsi="Consolas"/>
          <w:sz w:val="20"/>
        </w:rPr>
        <w:t>FIELD_NOT_PERMITTED</w:t>
      </w:r>
      <w:r>
        <w:t>, and call IT. The rule is correct; the *explanation to me* is missing.</w:t>
      </w:r>
    </w:p>
    <w:p>
      <w:r>
        <w:rPr>
          <w:b/>
        </w:rPr>
        <w:t>What I actually want and don't clearly see:</w:t>
      </w:r>
      <w:r>
        <w:t xml:space="preserve"> a one-line plain-language "what this KPI means and what counts/doesn't" on every tile (the </w:t>
      </w:r>
      <w:r>
        <w:rPr>
          <w:rFonts w:ascii="Consolas" w:hAnsi="Consolas"/>
          <w:sz w:val="20"/>
        </w:rPr>
        <w:t>description</w:t>
      </w:r>
      <w:r>
        <w:t xml:space="preserve"> exists in the model but the UI spec doesn't promise it on the tile), and a "why is this number different from what Payroll told me" reconciliation explainer. The 16-widget palette (HEATMAP, FUNNEL, MAP, GAUGE) is more chart types than any leader needs — that breadth is for the builder, not for me. Simplify the *consumption* surface even if the *authoring* surface stays rich.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and sequencing. This is not one module; it is a </w:t>
      </w:r>
      <w:r>
        <w:rPr>
          <w:b/>
        </w:rPr>
        <w:t>multi-quarter program riding on the completion of thirteen others.</w:t>
      </w:r>
      <w:r>
        <w:t xml:space="preserve"> §14.2 puts M14 last, correctly, but the dependency is harder than the graph admits: M14 reads stable *schemas/contracts* from M01–M13, and those modules are themselves in flight. </w:t>
      </w:r>
      <w:r>
        <w:rPr>
          <w:b/>
        </w:rPr>
        <w:t>You cannot build MART_PAYROLL_COST against M10 until M10's "locked snapshot" object is contractually frozen.</w:t>
      </w:r>
      <w:r>
        <w:t xml:space="preserve"> The BRD's own edge cases admit "source module schema change breaks ETL." There is no </w:t>
      </w:r>
      <w:r>
        <w:rPr>
          <w:b/>
        </w:rPr>
        <w:t>data-contract / versioned source-view</w:t>
      </w:r>
      <w:r>
        <w:t xml:space="preserve"> mechanism pinning what each source promises. That is the #1 schedule risk — silent upstream schema drift will break marts in production weekly.</w:t>
      </w:r>
    </w:p>
    <w:p>
      <w:r>
        <w:rPr>
          <w:b/>
        </w:rPr>
        <w:t>The write-amplification trap.</w:t>
      </w:r>
      <w:r>
        <w:t xml:space="preserve"> §8.1: "every data-returning call writes </w:t>
      </w:r>
      <w:r>
        <w:rPr>
          <w:rFonts w:ascii="Consolas" w:hAnsi="Consolas"/>
          <w:sz w:val="20"/>
        </w:rPr>
        <w:t>analytics_access_log</w:t>
      </w:r>
      <w:r>
        <w:t xml:space="preserve">." A single executive dashboard render fans out to ~8 widget queries; at 500 concurrent users (NFR) that is thousands of synchronous audit INSERTs/second contending with the read workload that must hit P95 &lt; 2.5s. Audit-on-read is correct for compliance but must be </w:t>
      </w:r>
      <w:r>
        <w:rPr>
          <w:b/>
        </w:rPr>
        <w:t>async/batched to an append-only store</w:t>
      </w:r>
      <w:r>
        <w:t>, not inline. The BRD mandates the behaviour without the architecture to survive it.</w:t>
      </w:r>
    </w:p>
    <w:p>
      <w:r>
        <w:rPr>
          <w:b/>
        </w:rPr>
        <w:t>Sequencing reality (the Monday step):</w:t>
      </w:r>
      <w:r>
        <w:t xml:space="preserve"> do </w:t>
      </w:r>
      <w:r>
        <w:rPr>
          <w:b/>
        </w:rPr>
        <w:t>not</w:t>
      </w:r>
      <w:r>
        <w:t xml:space="preserve"> start with dashboards. Start with the two foundation streams the whole edifice rests on — Stream A (FR-03 marts + FR-04 RLS). Concretely, Monday: (1) stand up the analytics schema and </w:t>
      </w:r>
      <w:r>
        <w:rPr>
          <w:b/>
        </w:rPr>
        <w:t>one</w:t>
      </w:r>
      <w:r>
        <w:t xml:space="preserve"> mart end-to-end — </w:t>
      </w:r>
      <w:r>
        <w:rPr>
          <w:rFonts w:ascii="Consolas" w:hAnsi="Consolas"/>
          <w:sz w:val="20"/>
        </w:rPr>
        <w:t>MART_HEADCOUNT</w:t>
      </w:r>
      <w:r>
        <w:t xml:space="preserve"> from M01 — with incremental load, watermark, and reconciliation; (2) write the </w:t>
      </w:r>
      <w:r>
        <w:rPr>
          <w:b/>
        </w:rPr>
        <w:t>RLS query-rewriter and the scope-leak test harness first</w:t>
      </w:r>
      <w:r>
        <w:t xml:space="preserve">, against that one mart, with the SELF/REPORTING_LINE/ORG_SUBTREE/ENTERPRISE matrix; (3) agree the </w:t>
      </w:r>
      <w:r>
        <w:rPr>
          <w:b/>
        </w:rPr>
        <w:t>source data-contract</w:t>
      </w:r>
      <w:r>
        <w:t xml:space="preserve"> with the M01 team. If RLS + one mart + reconciliation isn't bulletproof, nothing above it can be trusted. Defer FR-15 (NL query + embed) and FR-13 (predictive) entirely to a later phase — they are the highest-effort, highest-risk, lowest-foundational items and are wrongly bundled as if co-equal.</w:t>
      </w:r>
    </w:p>
    <w:p>
      <w:r>
        <w:rPr>
          <w:b/>
        </w:rPr>
        <w:t>Dependencies under-specified:</w:t>
      </w:r>
      <w:r>
        <w:t xml:space="preserve"> CDC technology unnamed; LLM provider/hosting for NL query unnamed (a DPDP question — are HR prompts leaving the data centre?); position-management source for sanctioned strength absent; target-history/effective-dating absent so target-vs-actual is wrong for past periods. Buildable, yes — but not in the implied single pass, and not without three named dependencies the BRD treats as ambient.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*(Advisors anonymised A–E; A=Proponent, B=Contrarian, C=First-Principles, D=Outsider, E=Executor.)*</w:t>
      </w:r>
    </w:p>
    <w:p>
      <w:r>
        <w:rPr>
          <w:b/>
        </w:rPr>
        <w:t>Reviewer 1 on B (Contrarian):</w:t>
      </w:r>
    </w:p>
    <w:p>
      <w:pPr>
        <w:pStyle w:val="ListBullet"/>
      </w:pPr>
      <w:r>
        <w:t>*Strongest:* The aggregate-differencing / complementary-suppression gap is the single most important finding — it shows RLS can be airtight at row level and still leak individuals through metric arithmetic. Genuinely non-obvious and audit-fatal.</w:t>
      </w:r>
    </w:p>
    <w:p>
      <w:pPr>
        <w:pStyle w:val="ListBullet"/>
      </w:pPr>
      <w:r>
        <w:t>*Biggest blind spot:* B asserts default tolerance 0 is self-contradictory but doesn't separate *reconcilable-at-rest* (end-of-day batch vs source) from *reconcilable-live*. Some counts *should* be 0-tolerance at a defined watermark; B over-generalises.</w:t>
      </w:r>
    </w:p>
    <w:p>
      <w:pPr>
        <w:pStyle w:val="ListBullet"/>
      </w:pPr>
      <w:r>
        <w:t xml:space="preserve">*Precise fix B missed:* tolerance should be </w:t>
      </w:r>
      <w:r>
        <w:rPr>
          <w:b/>
        </w:rPr>
        <w:t>watermark-relative</w:t>
      </w:r>
      <w:r>
        <w:t xml:space="preserve"> (reconcile mart-at-watermark to source-as-of-same-watermark), not wall-clock.</w:t>
      </w:r>
    </w:p>
    <w:p>
      <w:r>
        <w:rPr>
          <w:b/>
        </w:rPr>
        <w:t>Reviewer 2 on C (First-Principles):</w:t>
      </w:r>
    </w:p>
    <w:p>
      <w:pPr>
        <w:pStyle w:val="ListBullet"/>
      </w:pPr>
      <w:r>
        <w:t>*Strongest:* Bitemporality. Naming the append-only-vs-restatement contradiction (DI rule 12 vs FR-02 backfill recompute) is the deepest correctness issue in the document and nobody else caught it.</w:t>
      </w:r>
    </w:p>
    <w:p>
      <w:pPr>
        <w:pStyle w:val="ListBullet"/>
      </w:pPr>
      <w:r>
        <w:t>*Biggest blind spot:* C's "buy embedded BI" pitch underweights that the killer requirement — RLS injected into *every* query plus field-masking plus freshness — is exactly what off-the-shelf embedded BI does *worst*. Adopting a tool may *increase* the leakage surface, not reduce it.</w:t>
      </w:r>
    </w:p>
    <w:p>
      <w:pPr>
        <w:pStyle w:val="ListBullet"/>
      </w:pPr>
      <w:r>
        <w:t>*Precise fix C missed:* specify a *hybrid* — buy charting/scheduling/export rendering, build the governed query/RLS/semantic core; don't frame it as all-or-nothing.</w:t>
      </w:r>
    </w:p>
    <w:p>
      <w:r>
        <w:rPr>
          <w:b/>
        </w:rPr>
        <w:t>Reviewer 3 on E (Executor):</w:t>
      </w:r>
    </w:p>
    <w:p>
      <w:pPr>
        <w:pStyle w:val="ListBullet"/>
      </w:pPr>
      <w:r>
        <w:t>*Strongest:* Audit-on-read write amplification, with concrete fan-out math, and the "build RLS + scope-leak harness before dashboards" Monday step. Operationally the most actionable advisor.</w:t>
      </w:r>
    </w:p>
    <w:p>
      <w:pPr>
        <w:pStyle w:val="ListBullet"/>
      </w:pPr>
      <w:r>
        <w:t xml:space="preserve">*Biggest blind spot:* E says defer predictive (FR-13) entirely, but </w:t>
      </w:r>
      <w:r>
        <w:rPr>
          <w:b/>
        </w:rPr>
        <w:t>retirement forecasting is deterministic</w:t>
      </w:r>
      <w:r>
        <w:t xml:space="preserve"> (DOB + rules) and is a top public-sector ask with near-zero model risk — it should ship early; only *attrition/succession ML* should defer. E conflated them.</w:t>
      </w:r>
    </w:p>
    <w:p>
      <w:pPr>
        <w:pStyle w:val="ListBullet"/>
      </w:pPr>
      <w:r>
        <w:t>*Precise fix E missed:* split FR-13 into deterministic (ship) and probabilistic (defer + fairness-gate).</w:t>
      </w:r>
    </w:p>
    <w:p>
      <w:r>
        <w:rPr>
          <w:b/>
        </w:rPr>
        <w:t>Reviewer 4 on A (Proponent):</w:t>
      </w:r>
    </w:p>
    <w:p>
      <w:pPr>
        <w:pStyle w:val="ListBullet"/>
      </w:pPr>
      <w:r>
        <w:t>*Strongest:* Correctly identifies that governance-first (KPI registry as the spine) is what separates this from typical dashboard projects, and that the launch-gate scope-leak test is best-in-class.</w:t>
      </w:r>
    </w:p>
    <w:p>
      <w:pPr>
        <w:pStyle w:val="ListBullet"/>
      </w:pPr>
      <w:r>
        <w:t xml:space="preserve">*Biggest blind spot:* A praises freshness honesty but doesn't notice the freshness contract is </w:t>
      </w:r>
      <w:r>
        <w:rPr>
          <w:b/>
        </w:rPr>
        <w:t>undermined by the tolerance-0 reconciliation</w:t>
      </w:r>
      <w:r>
        <w:t xml:space="preserve"> (B) and by </w:t>
      </w:r>
      <w:r>
        <w:rPr>
          <w:b/>
        </w:rPr>
        <w:t>append-only-vs-restatement</w:t>
      </w:r>
      <w:r>
        <w:t xml:space="preserve"> (C) — i.e., A's three pillars partly conflict with each other in the details.</w:t>
      </w:r>
    </w:p>
    <w:p>
      <w:pPr>
        <w:pStyle w:val="ListBullet"/>
      </w:pPr>
      <w:r>
        <w:t>*Precise fix A missed:* the pillars need a consistency pass, not just individual praise.</w:t>
      </w:r>
    </w:p>
    <w:p>
      <w:r>
        <w:rPr>
          <w:b/>
        </w:rPr>
        <w:t>Reviewer 5 on D (Outsider):</w:t>
      </w:r>
    </w:p>
    <w:p>
      <w:pPr>
        <w:pStyle w:val="ListBullet"/>
      </w:pPr>
      <w:r>
        <w:t>*Strongest:* "The disclaimer is not the control" for predictive scores — reframes FR-13's advisory labelling from a compliance checkbox into a UX/behavioural-governance requirement (friction-gate individual scores).</w:t>
      </w:r>
    </w:p>
    <w:p>
      <w:pPr>
        <w:pStyle w:val="ListBullet"/>
      </w:pPr>
      <w:r>
        <w:t xml:space="preserve">*Biggest blind spot:* D wants the consumption surface simplified but ignores that auditors and analytics admins *need* the DEGRADED/partial vocabulary; the answer is </w:t>
      </w:r>
      <w:r>
        <w:rPr>
          <w:b/>
        </w:rPr>
        <w:t>role-adaptive language</w:t>
      </w:r>
      <w:r>
        <w:t>, not blanket simplification.</w:t>
      </w:r>
    </w:p>
    <w:p>
      <w:pPr>
        <w:pStyle w:val="ListBullet"/>
      </w:pPr>
      <w:r>
        <w:t>*Precise fix D missed:* dual-register copy — plain-language for leaders, technical for operators — keyed off role.</w:t>
      </w:r>
    </w:p>
    <w:p>
      <w:pPr>
        <w:pStyle w:val="Heading3"/>
      </w:pPr>
      <w:r>
        <w:rPr>
          <w:b/>
          <w:color w:val="2E5B9E"/>
          <w:sz w:val="26"/>
        </w:rPr>
        <w:t>What ALL FIVE missed (genuine)</w:t>
      </w:r>
    </w:p>
    <w:p>
      <w:pPr>
        <w:pStyle w:val="ListNumber"/>
      </w:pPr>
      <w:r>
        <w:rPr>
          <w:b/>
        </w:rPr>
        <w:t>DPDP data-principal rights propagation.</w:t>
      </w:r>
      <w:r>
        <w:t xml:space="preserve"> When an employee's PII is corrected or erased in M01 (a DPDP right / a service-record correction), the </w:t>
      </w:r>
      <w:r>
        <w:rPr>
          <w:b/>
        </w:rPr>
        <w:t>marts, `kpi_snapshot` history, `prediction_result`, `report_execution` artefacts in M13, and `analytics_access_log` retain stale or now-unlawful PII</w:t>
      </w:r>
      <w:r>
        <w:t>. The BRD's append-only and "retain last good" rules have *no erasure/correction-propagation path* and no reconciliation against statutory retention overrides. No advisor caught that the entire analytics estate is a second uncontrolled copy of personal data with no rectification pipeline.</w:t>
      </w:r>
    </w:p>
    <w:p>
      <w:pPr>
        <w:pStyle w:val="ListNumber"/>
      </w:pPr>
      <w:r>
        <w:rPr>
          <w:b/>
        </w:rPr>
        <w:t>Embed-token-in-URL and iframe trust boundary.</w:t>
      </w:r>
      <w:r>
        <w:t xml:space="preserve"> </w:t>
      </w:r>
      <w:r>
        <w:rPr>
          <w:rFonts w:ascii="Consolas" w:hAnsi="Consolas"/>
          <w:sz w:val="20"/>
        </w:rPr>
        <w:t>GET /api/v1/analytics/embed/{token}</w:t>
      </w:r>
      <w:r>
        <w:t xml:space="preserve"> (FR-15) puts a bearer credential in a path — it leaks via referer headers, proxy logs, and browser history; combined with iframe embedding there is no stated CSP/frame-ancestors, anti-clickjacking, or token-revocation list. Everyone treated "scoped/signed/expiring" as sufficient; none flagged the transport and revocation gap.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governed-KPI-registry-as-spine</w:t>
      </w:r>
      <w:r>
        <w:t xml:space="preserve"> and </w:t>
      </w:r>
      <w:r>
        <w:rPr>
          <w:b/>
        </w:rPr>
        <w:t>RLS-as-intersection</w:t>
      </w:r>
      <w:r>
        <w:t xml:space="preserve"> architecture is correct and world-class (A, all).</w:t>
      </w:r>
    </w:p>
    <w:p>
      <w:pPr>
        <w:pStyle w:val="ListBullet"/>
      </w:pPr>
      <w:r>
        <w:rPr>
          <w:b/>
        </w:rPr>
        <w:t>RLS is necessary but not sufficient</w:t>
      </w:r>
      <w:r>
        <w:t>: row-level filtering does not stop metric-level re-identification (B, echoed by C, D).</w:t>
      </w:r>
    </w:p>
    <w:p>
      <w:pPr>
        <w:pStyle w:val="ListBullet"/>
      </w:pPr>
      <w:r>
        <w:rPr>
          <w:b/>
        </w:rPr>
        <w:t>Foundations first</w:t>
      </w:r>
      <w:r>
        <w:t>: marts (FR-03) + RLS (FR-04) + scope-leak harness must precede everything; NL/embed/ML predictive must defer (E, C, D).</w:t>
      </w:r>
    </w:p>
    <w:p>
      <w:pPr>
        <w:pStyle w:val="ListBullet"/>
      </w:pPr>
      <w:r>
        <w:rPr>
          <w:b/>
        </w:rPr>
        <w:t>The "advisory" label is not a control</w:t>
      </w:r>
      <w:r>
        <w:t xml:space="preserve"> for predictive outputs (D, B, peer-endorsed).</w:t>
      </w:r>
    </w:p>
    <w:p>
      <w:pPr>
        <w:pStyle w:val="Heading3"/>
      </w:pPr>
      <w:r>
        <w:rPr>
          <w:b/>
          <w:color w:val="2E5B9E"/>
          <w:sz w:val="26"/>
        </w:rPr>
        <w:t>Clashes</w:t>
      </w:r>
    </w:p>
    <w:p>
      <w:pPr>
        <w:pStyle w:val="ListBullet"/>
      </w:pPr>
      <w:r>
        <w:rPr>
          <w:b/>
        </w:rPr>
        <w:t>C vs Reviewer-2/A on build-vs-buy.</w:t>
      </w:r>
      <w:r>
        <w:t xml:space="preserve"> C wants to adopt embedded BI to avoid re-building Superset; the counter is that off-the-shelf BI is *weakest* exactly where this system is *strongest* (per-query RLS + masking + freshness). </w:t>
      </w:r>
      <w:r>
        <w:rPr>
          <w:b/>
        </w:rPr>
        <w:t>Resolution → hybrid (see focused pass).</w:t>
      </w:r>
    </w:p>
    <w:p>
      <w:pPr>
        <w:pStyle w:val="ListBullet"/>
      </w:pPr>
      <w:r>
        <w:rPr>
          <w:b/>
        </w:rPr>
        <w:t>E vs Reviewer-3 on deferring predictive.</w:t>
      </w:r>
      <w:r>
        <w:t xml:space="preserve"> Deterministic retirement forecasting should ship early; only probabilistic attrition/succession defer behind a fairness gate. </w:t>
      </w:r>
      <w:r>
        <w:rPr>
          <w:b/>
        </w:rPr>
        <w:t>Resolution → split FR-13.</w:t>
      </w:r>
    </w:p>
    <w:p>
      <w:pPr>
        <w:pStyle w:val="ListBullet"/>
      </w:pPr>
      <w:r>
        <w:rPr>
          <w:b/>
        </w:rPr>
        <w:t>B vs Reviewer-1 on tolerance 0.</w:t>
      </w:r>
      <w:r>
        <w:t xml:space="preserve"> Not wrong, just imprecise: tolerance must be </w:t>
      </w:r>
      <w:r>
        <w:rPr>
          <w:b/>
        </w:rPr>
        <w:t>watermark-relative</w:t>
      </w:r>
      <w:r>
        <w:t xml:space="preserve">, and may legitimately be 0 *at* a watermark. </w:t>
      </w:r>
      <w:r>
        <w:rPr>
          <w:b/>
        </w:rPr>
        <w:t>Resolution → redefine reconciliation against the watermark, not wall-clock.</w:t>
      </w:r>
    </w:p>
    <w:p>
      <w:pPr>
        <w:pStyle w:val="Heading3"/>
      </w:pPr>
      <w:r>
        <w:rPr>
          <w:b/>
          <w:color w:val="2E5B9E"/>
          <w:sz w:val="26"/>
        </w:rPr>
        <w:t>Blind spots (council-level)</w:t>
      </w:r>
    </w:p>
    <w:p>
      <w:pPr>
        <w:pStyle w:val="ListBullet"/>
      </w:pPr>
      <w:r>
        <w:t>DPDP rectification/erasure propagation into the analytics estate (missed by all).</w:t>
      </w:r>
    </w:p>
    <w:p>
      <w:pPr>
        <w:pStyle w:val="ListBullet"/>
      </w:pPr>
      <w:r>
        <w:t>Embed token transport security + revocation (missed by all).</w:t>
      </w:r>
    </w:p>
    <w:p>
      <w:pPr>
        <w:pStyle w:val="ListBullet"/>
      </w:pPr>
      <w:r>
        <w:t>The three "pillars" (governance, RLS, freshness) have internal contradictions in the detail (append-only vs restatement; tolerance-0 vs CDC lag) — they were each praised in isolation but never reconciled with one another.</w:t>
      </w:r>
    </w:p>
    <w:p>
      <w:pPr>
        <w:pStyle w:val="Heading3"/>
      </w:pPr>
      <w:r>
        <w:rPr>
          <w:b/>
          <w:color w:val="2E5B9E"/>
          <w:sz w:val="26"/>
        </w:rPr>
        <w:t>Idea evolution</w:t>
      </w:r>
    </w:p>
    <w:p>
      <w:r>
        <w:t xml:space="preserve">The BRD moves from *"governed, secure, fresh dashboards"* to *"a governed, secure, fresh, </w:t>
      </w:r>
      <w:r>
        <w:rPr>
          <w:b/>
        </w:rPr>
        <w:t>temporally-honest, fairness-audited, and rectifiable</w:t>
      </w:r>
      <w:r>
        <w:t xml:space="preserve"> analytics estate, built foundations-first on a hybrid stack, with metric-level (not just row-level) privacy."* The added adjectives are the gap between "very good draft" and "bulletproof for government audit."</w:t>
      </w:r>
    </w:p>
    <w:p>
      <w:pPr>
        <w:pStyle w:val="Heading3"/>
      </w:pPr>
      <w:r>
        <w:rPr>
          <w:b/>
          <w:color w:val="2E5B9E"/>
          <w:sz w:val="26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Re-identification via aggregate differencing / small denominators despite airtight RLS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complementary suppression + minimum-cell threshold (k) to KPI tiles/exports, not just drill-through; suppress or band small-denominator rates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 definition drift splices versions in one trend 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kpi_version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definition_hash</w:t>
            </w:r>
            <w:r>
              <w:rPr>
                <w:sz w:val="18"/>
              </w:rPr>
              <w:t xml:space="preserve">) to </w:t>
            </w:r>
            <w:r>
              <w:rPr>
                <w:rFonts w:ascii="Consolas" w:hAnsi="Consolas"/>
                <w:sz w:val="18"/>
              </w:rPr>
              <w:t>kpi_snapshot</w:t>
            </w:r>
            <w:r>
              <w:rPr>
                <w:sz w:val="18"/>
              </w:rPr>
              <w:t>; surface version-change markers on trends; block cross-version aggregation without a notice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snapshot vs retroactive restatement contradiction (no bitemporality)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valid-time + knowledge-time to snapshots; corrections create new knowledge-versions; "as-of-knowledge" report parameter for audit reproducibility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Predictive bias / adverse impact in reservation context; "advisory" treated as control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fairness/adverse-impact testing, protected-attribute exclusion list, prohibited-use clause, human-friction gate on individual scores, model card per model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Audit-on-read write amplification breaks P95 at 500 concurrent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Async/batched append to access_log; partitioned/append-only store; sampling for low-sensitivity VIEW events, full logging for RESTRICTED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RLS policy &amp; embed-token mutation has no maker-checker (most dangerous change is unchecked)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Maker-checker + SoD on </w:t>
            </w:r>
            <w:r>
              <w:rPr>
                <w:rFonts w:ascii="Consolas" w:hAnsi="Consolas"/>
                <w:sz w:val="18"/>
              </w:rPr>
              <w:t>rls_scope_policy</w:t>
            </w:r>
            <w:r>
              <w:rPr>
                <w:sz w:val="18"/>
              </w:rPr>
              <w:t xml:space="preserve"> and embed-token issuance; "preview-as-role" diff + approval before activation; immutable change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tolerance 0 vs CDC lag floods DEGRADED, destroying freshness trust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Reconcile mart-at-watermark to source-as-of-same-watermark; per-KPI tolerance + grace; alert only on sustained variance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Sanctioned strength / position-management master has no owner among M01–M13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Name/establish a position-establishment source of record (or formally scope it in); pin vacancy &amp; reservation denominators to 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rectification/erasure not propagated to marts/snapshots/predictions/exports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Council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data-subject-change propagation pipeline; reconcile append-only with statutory retention + erasure overrides; mark/redact affected derived rows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Embed token in URL path + iframe with no CSP/revocation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Council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token to header/short-lived exchange; frame-ancestors/CSP; token revocation list + rotation; per-render re-validation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schema drift breaks ETL in production (no data contract)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source views / data contracts with each module; contract tests in CI; breaking-change alerts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NL-query misinterpretation produces confidently-wrong governed numbers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 threshold + "not sure, please pick" gating; log interpretation for audit; never answer below confidence; name + locate LLM (DPDP)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Targets/thresholds not effective-dated → wrong historical target-vs-actual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target/threshold history (effective-dated); benchmark against the target in force for that period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offline cache stores RESTRICTED PII on device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Encrypted cache, exclude RESTRICTED from offline, remote-wipe/expiry, no PII at rest on device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Over-scope for v1 (custom NL + embed + ML predictive + 16-widget palette)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Phase: ship deterministic core first; defer NL/embed/ML predictive; hybrid buy for commodity BI machinery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Consumption-surface jargon erodes leader trust/usability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Role-adaptive (dual-register) freshness/KPI copy; plain-language KPI definition on every tile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Recommendation</w:t>
      </w:r>
    </w:p>
    <w:p>
      <w:r>
        <w:rPr>
          <w:b/>
        </w:rPr>
        <w:t>Conditional GO to Gate A with mandatory amendments.</w:t>
      </w:r>
      <w:r>
        <w:t xml:space="preserve"> The architecture is fundamentally sound and ahead of typical practice; the defects are precise and fixable, not structural. Do </w:t>
      </w:r>
      <w:r>
        <w:rPr>
          <w:b/>
        </w:rPr>
        <w:t>not</w:t>
      </w:r>
      <w:r>
        <w:t xml:space="preserve"> approve as-is: R1, R3, R4, R6, and R9 are each independently audit-fatal for a government system and must be resolved into BRD v2 before LLD. Re-sequence per the Executor (foundations + scope-leak harness first; split predictive; defer NL/embed). Resolve the build-vs-buy question explicitly as a hybrid.</w:t>
      </w:r>
    </w:p>
    <w:p>
      <w:pPr>
        <w:pStyle w:val="Heading3"/>
      </w:pPr>
      <w:r>
        <w:rPr>
          <w:b/>
          <w:color w:val="2E5B9E"/>
          <w:sz w:val="26"/>
        </w:rPr>
        <w:t>The One Thing To Do First</w:t>
      </w:r>
    </w:p>
    <w:p>
      <w:r>
        <w:rPr>
          <w:b/>
        </w:rPr>
        <w:t>Build the RLS query-rewriter and the automated scope-leak test matrix against one real mart (`MART_HEADCOUNT`) before any dashboard — and in the same stroke add metric-level small-cell/complementary suppression so the leak harness tests *aggregate* re-identification, not just row leakage.</w:t>
      </w:r>
      <w:r>
        <w:t xml:space="preserve"> Everything else in M14 is only as trustworthy as this layer, and the council's most dangerous finding (R1) lives precisely where row-level security ends and metric arithmetic begins.</w:t>
      </w:r>
    </w:p>
    <w:p>
      <w:pPr>
        <w:pStyle w:val="Heading2"/>
      </w:pPr>
      <w:r>
        <w:rPr>
          <w:b/>
          <w:color w:val="1F3864"/>
          <w:sz w:val="30"/>
        </w:rPr>
        <w:t>4. Focused Second Pass — The Build-vs-Buy Fundamental Clash</w:t>
      </w:r>
    </w:p>
    <w:p>
      <w:r>
        <w:t xml:space="preserve">The one fundamental clash worth a second pass: </w:t>
      </w:r>
      <w:r>
        <w:rPr>
          <w:b/>
        </w:rPr>
        <w:t>C says adopt embedded BI to avoid rebuilding Superset; Reviewer-2/A say off-the-shelf BI is weakest exactly where this system must be strongest.</w:t>
      </w:r>
    </w:p>
    <w:p>
      <w:r>
        <w:t>Both are right about different layers, and the BRD's failure is treating the stack as monolithic. Decompose by *differentiation × risk*:</w:t>
      </w:r>
    </w:p>
    <w:p>
      <w:pPr>
        <w:pStyle w:val="ListBullet"/>
      </w:pPr>
      <w:r>
        <w:rPr>
          <w:b/>
        </w:rPr>
        <w:t>Must build (differentiated, security-critical, no off-the-shelf equivalent meets the bar):</w:t>
      </w:r>
      <w:r>
        <w:t xml:space="preserve"> the governed KPI registry + DSL/versioning (E03/E04, FR-02); the </w:t>
      </w:r>
      <w:r>
        <w:rPr>
          <w:b/>
        </w:rPr>
        <w:t>RLS query-rewriter and field-masking</w:t>
      </w:r>
      <w:r>
        <w:t xml:space="preserve"> (FR-04); the freshness/</w:t>
      </w:r>
      <w:r>
        <w:rPr>
          <w:rFonts w:ascii="Consolas" w:hAnsi="Consolas"/>
          <w:sz w:val="20"/>
        </w:rPr>
        <w:t>dataFreshness</w:t>
      </w:r>
      <w:r>
        <w:t xml:space="preserve"> contract (FR-12); the cross-module drill-through authz (FR-10); the access/audit ledger semantics (E16). These *are* the product. No BI tool injects org-subtree RLS + per-field masking + per-mart freshness into every query the way this BRD requires; bolting RLS onto Superset/Power BI typically widens the leak surface.</w:t>
      </w:r>
    </w:p>
    <w:p>
      <w:pPr>
        <w:pStyle w:val="ListBullet"/>
      </w:pPr>
      <w:r>
        <w:rPr>
          <w:b/>
        </w:rPr>
        <w:t>Should buy/adopt (commodity, undifferentiated, high build cost):</w:t>
      </w:r>
      <w:r>
        <w:t xml:space="preserve"> chart rendering, the grid/layout engine, PDF/XLSX/CSV export rendering, the cron scheduler, and possibly the NL-to-query LLM orchestration — provided they consume the governed semantic model and the RLS-rewritten queries *as inputs* and never reach the marts directly.</w:t>
      </w:r>
    </w:p>
    <w:p>
      <w:r>
        <w:rPr>
          <w:b/>
        </w:rPr>
        <w:t>Resolution:</w:t>
      </w:r>
      <w:r>
        <w:t xml:space="preserve"> v2 should state an explicit </w:t>
      </w:r>
      <w:r>
        <w:rPr>
          <w:b/>
        </w:rPr>
        <w:t>hybrid architecture decision record</w:t>
      </w:r>
      <w:r>
        <w:t>: the governed query/RLS/semantic/freshness core is built and owns *all* data access; presentation, export, scheduling, and charting are adopted libraries that receive already-scoped, already-masked, already-freshness-stamped result sets and never hold a database credential. This collapses the Executor's tens-of-person-months concern *and* preserves the Proponent's security posture. It also makes the embed and NL surfaces thin renderers over the same governed core, shrinking R10/R12.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Metric-level privacy (complementary suppression).</w:t>
      </w:r>
      <w:r>
        <w:t xml:space="preserve"> Extend small-cell/k-anonymity (currently FR-10/§16.4) to </w:t>
      </w:r>
      <w:r>
        <w:rPr>
          <w:b/>
        </w:rPr>
        <w:t>KPI tiles, charts, and exports</w:t>
      </w:r>
      <w:r>
        <w:t xml:space="preserve">: suppress or band any value whose denominator/group size &lt; configurable k, and apply complementary suppression so a suppressed cell cannot be recovered by subtracting visible totals across overlapping scopes/periods. Add error </w:t>
      </w:r>
      <w:r>
        <w:rPr>
          <w:rFonts w:ascii="Consolas" w:hAnsi="Consolas"/>
          <w:sz w:val="20"/>
        </w:rPr>
        <w:t>SMALL_CELL_SUPPRESSED</w:t>
      </w:r>
      <w:r>
        <w:t xml:space="preserve"> handling to aggregate reads. *(R1)*</w:t>
      </w:r>
    </w:p>
    <w:p>
      <w:pPr>
        <w:pStyle w:val="ListNumber"/>
      </w:pPr>
      <w:r>
        <w:rPr>
          <w:b/>
        </w:rPr>
        <w:t>Bitemporal snapshots.</w:t>
      </w:r>
      <w:r>
        <w:t xml:space="preserve"> Add </w:t>
      </w:r>
      <w:r>
        <w:rPr>
          <w:rFonts w:ascii="Consolas" w:hAnsi="Consolas"/>
          <w:sz w:val="20"/>
        </w:rPr>
        <w:t>valid_time</w:t>
      </w:r>
      <w:r>
        <w:t xml:space="preserve"> (period described) and </w:t>
      </w:r>
      <w:r>
        <w:rPr>
          <w:rFonts w:ascii="Consolas" w:hAnsi="Consolas"/>
          <w:sz w:val="20"/>
        </w:rPr>
        <w:t>knowledge_time</w:t>
      </w:r>
      <w:r>
        <w:t>/</w:t>
      </w:r>
      <w:r>
        <w:rPr>
          <w:rFonts w:ascii="Consolas" w:hAnsi="Consolas"/>
          <w:sz w:val="20"/>
        </w:rPr>
        <w:t>recorded_as_of</w:t>
      </w:r>
      <w:r>
        <w:t xml:space="preserve"> to </w:t>
      </w:r>
      <w:r>
        <w:rPr>
          <w:rFonts w:ascii="Consolas" w:hAnsi="Consolas"/>
          <w:sz w:val="20"/>
        </w:rPr>
        <w:t>kpi_snapshot</w:t>
      </w:r>
      <w:r>
        <w:t xml:space="preserve"> (E04); restatements create a new knowledge-version rather than mutating or appending an inconsistent row. Add an </w:t>
      </w:r>
      <w:r>
        <w:rPr>
          <w:b/>
        </w:rPr>
        <w:t>"as-of-knowledge" parameter</w:t>
      </w:r>
      <w:r>
        <w:t xml:space="preserve"> to report/KPI reads so an auditor can reproduce exactly what June's report showed in June. Reconcile this with DI rule 12 (append-only) and the FR-02 backfill-recompute edge case. *(R3)*</w:t>
      </w:r>
    </w:p>
    <w:p>
      <w:pPr>
        <w:pStyle w:val="ListNumber"/>
      </w:pPr>
      <w:r>
        <w:rPr>
          <w:b/>
        </w:rPr>
        <w:t>Stamp KPI version on every snapshot.</w:t>
      </w:r>
      <w:r>
        <w:t xml:space="preserve"> Add </w:t>
      </w:r>
      <w:r>
        <w:rPr>
          <w:rFonts w:ascii="Consolas" w:hAnsi="Consolas"/>
          <w:sz w:val="20"/>
        </w:rPr>
        <w:t>kpi_version</w:t>
      </w:r>
      <w:r>
        <w:t xml:space="preserve"> (and a </w:t>
      </w:r>
      <w:r>
        <w:rPr>
          <w:rFonts w:ascii="Consolas" w:hAnsi="Consolas"/>
          <w:sz w:val="20"/>
        </w:rPr>
        <w:t>definition_hash</w:t>
      </w:r>
      <w:r>
        <w:t xml:space="preserve">) FK on </w:t>
      </w:r>
      <w:r>
        <w:rPr>
          <w:rFonts w:ascii="Consolas" w:hAnsi="Consolas"/>
          <w:sz w:val="20"/>
        </w:rPr>
        <w:t>kpi_snapshot</w:t>
      </w:r>
      <w:r>
        <w:t>; render a version-change marker on any trend that crosses a definition change; block silent cross-version aggregation (warn + require acknowledgement). *(R2)*</w:t>
      </w:r>
    </w:p>
    <w:p>
      <w:pPr>
        <w:pStyle w:val="ListNumber"/>
      </w:pPr>
      <w:r>
        <w:rPr>
          <w:b/>
        </w:rPr>
        <w:t>Predictive fairness governance (new sub-FR under FR-13).</w:t>
      </w:r>
      <w:r>
        <w:t xml:space="preserve"> Mandate, before a probabilistic model is activated: a </w:t>
      </w:r>
      <w:r>
        <w:rPr>
          <w:b/>
        </w:rPr>
        <w:t>protected/correlated-attribute exclusion list</w:t>
      </w:r>
      <w:r>
        <w:t xml:space="preserve"> (caste/reservation category, gender, disability, maternity-linked leave proxies), documented </w:t>
      </w:r>
      <w:r>
        <w:rPr>
          <w:b/>
        </w:rPr>
        <w:t>adverse-impact / disparate-impact testing</w:t>
      </w:r>
      <w:r>
        <w:t xml:space="preserve"> with thresholds, a published </w:t>
      </w:r>
      <w:r>
        <w:rPr>
          <w:b/>
        </w:rPr>
        <w:t>model card</w:t>
      </w:r>
      <w:r>
        <w:t xml:space="preserve"> (</w:t>
      </w:r>
      <w:r>
        <w:rPr>
          <w:rFonts w:ascii="Consolas" w:hAnsi="Consolas"/>
          <w:sz w:val="20"/>
        </w:rPr>
        <w:t>prediction_model</w:t>
      </w:r>
      <w:r>
        <w:t xml:space="preserve"> gains </w:t>
      </w:r>
      <w:r>
        <w:rPr>
          <w:rFonts w:ascii="Consolas" w:hAnsi="Consolas"/>
          <w:sz w:val="20"/>
        </w:rPr>
        <w:t>fairness_assessment</w:t>
      </w:r>
      <w:r>
        <w:t xml:space="preserve">, </w:t>
      </w:r>
      <w:r>
        <w:rPr>
          <w:rFonts w:ascii="Consolas" w:hAnsi="Consolas"/>
          <w:sz w:val="20"/>
        </w:rPr>
        <w:t>protected_features_excluded</w:t>
      </w:r>
      <w:r>
        <w:t xml:space="preserve">, </w:t>
      </w:r>
      <w:r>
        <w:rPr>
          <w:rFonts w:ascii="Consolas" w:hAnsi="Consolas"/>
          <w:sz w:val="20"/>
        </w:rPr>
        <w:t>intended_use</w:t>
      </w:r>
      <w:r>
        <w:t xml:space="preserve">, </w:t>
      </w:r>
      <w:r>
        <w:rPr>
          <w:rFonts w:ascii="Consolas" w:hAnsi="Consolas"/>
          <w:sz w:val="20"/>
        </w:rPr>
        <w:t>prohibited_use</w:t>
      </w:r>
      <w:r>
        <w:t xml:space="preserve">), and a </w:t>
      </w:r>
      <w:r>
        <w:rPr>
          <w:b/>
        </w:rPr>
        <w:t>prohibited-use clause</w:t>
      </w:r>
      <w:r>
        <w:t xml:space="preserve"> that individual scores must not be used as the sole or primary basis for any administrative action. *(R4)*</w:t>
      </w:r>
    </w:p>
    <w:p>
      <w:pPr>
        <w:pStyle w:val="ListNumber"/>
      </w:pPr>
      <w:r>
        <w:rPr>
          <w:b/>
        </w:rPr>
        <w:t>Friction-gate individual predictive scores.</w:t>
      </w:r>
      <w:r>
        <w:t xml:space="preserve"> Individual </w:t>
      </w:r>
      <w:r>
        <w:rPr>
          <w:rFonts w:ascii="Consolas" w:hAnsi="Consolas"/>
          <w:sz w:val="20"/>
        </w:rPr>
        <w:t>prediction_result</w:t>
      </w:r>
      <w:r>
        <w:t xml:space="preserve"> rows (attrition/succession) are not surfaced on hover/tile; opening a named individual's score requires a deliberate action with a purpose prompt, RESTRICTED authority, and an </w:t>
      </w:r>
      <w:r>
        <w:rPr>
          <w:rFonts w:ascii="Consolas" w:hAnsi="Consolas"/>
          <w:sz w:val="20"/>
        </w:rPr>
        <w:t>analytics_access_log</w:t>
      </w:r>
      <w:r>
        <w:t xml:space="preserve"> entry. Aggregate/banded risk distributions remain freely viewable to authorised scope. *(R4, D)*</w:t>
      </w:r>
    </w:p>
    <w:p>
      <w:pPr>
        <w:pStyle w:val="ListNumber"/>
      </w:pPr>
      <w:r>
        <w:rPr>
          <w:b/>
        </w:rPr>
        <w:t>Split FR-13 by determinism.</w:t>
      </w:r>
      <w:r>
        <w:t xml:space="preserve"> Separate </w:t>
      </w:r>
      <w:r>
        <w:rPr>
          <w:b/>
        </w:rPr>
        <w:t>deterministic retirement forecasting</w:t>
      </w:r>
      <w:r>
        <w:t xml:space="preserve"> (DOB + canonical rules — ship in foundation phase, low risk) from </w:t>
      </w:r>
      <w:r>
        <w:rPr>
          <w:b/>
        </w:rPr>
        <w:t>probabilistic attrition/succession</w:t>
      </w:r>
      <w:r>
        <w:t xml:space="preserve"> (defer behind the fairness gate of item 4). Reflect in §14.2 dependency graph. *(E, Reviewer-3)*</w:t>
      </w:r>
    </w:p>
    <w:p>
      <w:pPr>
        <w:pStyle w:val="ListNumber"/>
      </w:pPr>
      <w:r>
        <w:rPr>
          <w:b/>
        </w:rPr>
        <w:t>Maker-checker + SoD on RLS policy and embed tokens.</w:t>
      </w:r>
      <w:r>
        <w:t xml:space="preserve"> </w:t>
      </w:r>
      <w:r>
        <w:rPr>
          <w:rFonts w:ascii="Consolas" w:hAnsi="Consolas"/>
          <w:sz w:val="20"/>
        </w:rPr>
        <w:t>rls_scope_policy</w:t>
      </w:r>
      <w:r>
        <w:t xml:space="preserve"> create/update and embed-token issuance route through the workflow engine with maker ≠ checker, a </w:t>
      </w:r>
      <w:r>
        <w:rPr>
          <w:b/>
        </w:rPr>
        <w:t>"preview-as-role" diff</w:t>
      </w:r>
      <w:r>
        <w:t xml:space="preserve"> showing the before/after data exposure, and an immutable change audit. Add to DI rule 10 (currently only KPI/dashboard publication). *(R6)*</w:t>
      </w:r>
    </w:p>
    <w:p>
      <w:pPr>
        <w:pStyle w:val="ListNumber"/>
      </w:pPr>
      <w:r>
        <w:rPr>
          <w:b/>
        </w:rPr>
        <w:t>Async, partitioned audit-on-read.</w:t>
      </w:r>
      <w:r>
        <w:t xml:space="preserve"> Re-spec §8.1 so </w:t>
      </w:r>
      <w:r>
        <w:rPr>
          <w:rFonts w:ascii="Consolas" w:hAnsi="Consolas"/>
          <w:sz w:val="20"/>
        </w:rPr>
        <w:t>analytics_access_log</w:t>
      </w:r>
      <w:r>
        <w:t xml:space="preserve"> writes are </w:t>
      </w:r>
      <w:r>
        <w:rPr>
          <w:b/>
        </w:rPr>
        <w:t>asynchronous/batched</w:t>
      </w:r>
      <w:r>
        <w:t xml:space="preserve"> to an append-only partitioned store off the read path; full-fidelity logging for RESTRICTED/EXPORT/DRILLTHROUGH/NL_QUERY, configurable sampling for low-sensitivity VIEW_DASHBOARD events. Add NFR for sustained write throughput at 500 concurrent users. *(R5)*</w:t>
      </w:r>
    </w:p>
    <w:p>
      <w:pPr>
        <w:pStyle w:val="ListNumber"/>
      </w:pPr>
      <w:r>
        <w:rPr>
          <w:b/>
        </w:rPr>
        <w:t>Watermark-relative reconciliation.</w:t>
      </w:r>
      <w:r>
        <w:t xml:space="preserve"> Redefine DI rule 11 / FR-03 AC5: reconcile </w:t>
      </w:r>
      <w:r>
        <w:rPr>
          <w:b/>
        </w:rPr>
        <w:t>mart-at-watermark vs source-as-of-the-same-watermark</w:t>
      </w:r>
      <w:r>
        <w:t xml:space="preserve"> (not wall-clock), with per-KPI tolerance and a sustained-variance grace window before flagging DEGRADED. Prevents permanent false DEGRADED from CDC lag. *(R7)*</w:t>
      </w:r>
    </w:p>
    <w:p>
      <w:pPr>
        <w:pStyle w:val="ListNumber"/>
      </w:pPr>
      <w:r>
        <w:rPr>
          <w:b/>
        </w:rPr>
        <w:t>Name the establishment / position-management source of record.</w:t>
      </w:r>
      <w:r>
        <w:t xml:space="preserve"> Vacancy (FR-05) and reservation compliance (FR-07) depend on sanctioned strength and roster points that no current module owns. Either add a position/establishment master as a named upstream source (with a mart) or formally scope it into M14 with explicit ownership; pin vacancy/reservation denominators to it. *(R8)*</w:t>
      </w:r>
    </w:p>
    <w:p>
      <w:pPr>
        <w:pStyle w:val="ListNumber"/>
      </w:pPr>
      <w:r>
        <w:rPr>
          <w:b/>
        </w:rPr>
        <w:t>DPDP rectification/erasure propagation pipeline (new FR).</w:t>
      </w:r>
      <w:r>
        <w:t xml:space="preserve"> On employee PII correction/erasure in M01 (or a DPDP data-principal request), propagate to marts, redact/restate affected </w:t>
      </w:r>
      <w:r>
        <w:rPr>
          <w:rFonts w:ascii="Consolas" w:hAnsi="Consolas"/>
          <w:sz w:val="20"/>
        </w:rPr>
        <w:t>kpi_snapshot</w:t>
      </w:r>
      <w:r>
        <w:t>/</w:t>
      </w:r>
      <w:r>
        <w:rPr>
          <w:rFonts w:ascii="Consolas" w:hAnsi="Consolas"/>
          <w:sz w:val="20"/>
        </w:rPr>
        <w:t>prediction_result</w:t>
      </w:r>
      <w:r>
        <w:t xml:space="preserve">, mark/expire affected </w:t>
      </w:r>
      <w:r>
        <w:rPr>
          <w:rFonts w:ascii="Consolas" w:hAnsi="Consolas"/>
          <w:sz w:val="20"/>
        </w:rPr>
        <w:t>report_execution</w:t>
      </w:r>
      <w:r>
        <w:t xml:space="preserve"> artefacts in M13, and reconcile against statutory-retention overrides (record the legal basis when retention beats erasure). *(R9)*</w:t>
      </w:r>
    </w:p>
    <w:p>
      <w:pPr>
        <w:pStyle w:val="ListNumber"/>
      </w:pPr>
      <w:r>
        <w:rPr>
          <w:b/>
        </w:rPr>
        <w:t>Harden embed transport.</w:t>
      </w:r>
      <w:r>
        <w:t xml:space="preserve"> Move embed credentials out of the URL path (header or short-lived code-exchange), add </w:t>
      </w:r>
      <w:r>
        <w:rPr>
          <w:rFonts w:ascii="Consolas" w:hAnsi="Consolas"/>
          <w:sz w:val="20"/>
        </w:rPr>
        <w:t>Content-Security-Policy: frame-ancestors</w:t>
      </w:r>
      <w:r>
        <w:t xml:space="preserve"> allow-listing, anti-clickjacking headers, a </w:t>
      </w:r>
      <w:r>
        <w:rPr>
          <w:b/>
        </w:rPr>
        <w:t>token revocation list + rotation</w:t>
      </w:r>
      <w:r>
        <w:t>, and per-render re-validation of scope. *(R10)*</w:t>
      </w:r>
    </w:p>
    <w:p>
      <w:pPr>
        <w:pStyle w:val="ListNumber"/>
      </w:pPr>
      <w:r>
        <w:rPr>
          <w:b/>
        </w:rPr>
        <w:t>Source data contracts.</w:t>
      </w:r>
      <w:r>
        <w:t xml:space="preserve"> Add a versioned </w:t>
      </w:r>
      <w:r>
        <w:rPr>
          <w:b/>
        </w:rPr>
        <w:t>source-view / data-contract</w:t>
      </w:r>
      <w:r>
        <w:t xml:space="preserve"> layer between each module (M01–M13) and its marts, with contract tests in CI and breaking-change alerts, so upstream schema drift fails loudly in CI, not silently in production ETL. Name the CDC technology. *(R11)*</w:t>
      </w:r>
    </w:p>
    <w:p>
      <w:pPr>
        <w:pStyle w:val="ListNumber"/>
      </w:pPr>
      <w:r>
        <w:rPr>
          <w:b/>
        </w:rPr>
        <w:t>NL-query confidence gating &amp; provenance.</w:t>
      </w:r>
      <w:r>
        <w:t xml:space="preserve"> NL query must enforce a confidence threshold — below it, clarify/refuse rather than answer; log the resolved interpretation for audit of misinterpretation; and </w:t>
      </w:r>
      <w:r>
        <w:rPr>
          <w:b/>
        </w:rPr>
        <w:t>name the LLM provider and hosting location</w:t>
      </w:r>
      <w:r>
        <w:t xml:space="preserve"> with an explicit DPDP assessment (do HR prompts/data leave the CGG data centre?). NL never answers a RESTRICTED metric without the same authority as in-app. *(R12)*</w:t>
      </w:r>
    </w:p>
    <w:p>
      <w:pPr>
        <w:pStyle w:val="ListNumber"/>
      </w:pPr>
      <w:r>
        <w:rPr>
          <w:b/>
        </w:rPr>
        <w:t>Effective-dated targets &amp; thresholds.</w:t>
      </w:r>
      <w:r>
        <w:t xml:space="preserve"> Add target/threshold history so </w:t>
      </w:r>
      <w:r>
        <w:rPr>
          <w:rFonts w:ascii="Consolas" w:hAnsi="Consolas"/>
          <w:sz w:val="20"/>
        </w:rPr>
        <w:t>kpi_definition.target_value</w:t>
      </w:r>
      <w:r>
        <w:t xml:space="preserve"> and </w:t>
      </w:r>
      <w:r>
        <w:rPr>
          <w:rFonts w:ascii="Consolas" w:hAnsi="Consolas"/>
          <w:sz w:val="20"/>
        </w:rPr>
        <w:t>alert_rule.threshold</w:t>
      </w:r>
      <w:r>
        <w:t xml:space="preserve"> are effective-dated; target-vs-actual and RAG status use the value </w:t>
      </w:r>
      <w:r>
        <w:rPr>
          <w:b/>
        </w:rPr>
        <w:t>in force for the period being shown</w:t>
      </w:r>
      <w:r>
        <w:t>, not today's value. *(R13)*</w:t>
      </w:r>
    </w:p>
    <w:p>
      <w:pPr>
        <w:pStyle w:val="ListNumber"/>
      </w:pPr>
      <w:r>
        <w:rPr>
          <w:b/>
        </w:rPr>
        <w:t>Mobile/offline RESTRICTED-data policy.</w:t>
      </w:r>
      <w:r>
        <w:t xml:space="preserve"> FR-16: encrypted on-device cache, </w:t>
      </w:r>
      <w:r>
        <w:rPr>
          <w:b/>
        </w:rPr>
        <w:t>exclude RESTRICTED fields/PII from offline caching</w:t>
      </w:r>
      <w:r>
        <w:t>, enforce cache expiry and remote-wipe, and state it as an NFR/security rule. *(R14)*</w:t>
      </w:r>
    </w:p>
    <w:p>
      <w:pPr>
        <w:pStyle w:val="ListNumber"/>
      </w:pPr>
      <w:r>
        <w:rPr>
          <w:b/>
        </w:rPr>
        <w:t>Hybrid build-vs-buy architecture decision record (new §4 sub-section).</w:t>
      </w:r>
      <w:r>
        <w:t xml:space="preserve"> State explicitly: build the governed query/RLS/semantic/freshness/audit </w:t>
      </w:r>
      <w:r>
        <w:rPr>
          <w:b/>
        </w:rPr>
        <w:t>core</w:t>
      </w:r>
      <w:r>
        <w:t xml:space="preserve"> (owns all data access; only it holds DB credentials); adopt commodity libraries for charting, layout, export rendering, scheduling, and NL orchestration, which consume already-scoped/masked/freshness-stamped result sets and never touch marts directly. *(R15, build-vs-buy pass)*</w:t>
      </w:r>
    </w:p>
    <w:p>
      <w:pPr>
        <w:pStyle w:val="ListNumber"/>
      </w:pPr>
      <w:r>
        <w:rPr>
          <w:b/>
        </w:rPr>
        <w:t>Phase the scope.</w:t>
      </w:r>
      <w:r>
        <w:t xml:space="preserve"> Re-sequence §14.2/§14.3 into explicit phases: </w:t>
      </w:r>
      <w:r>
        <w:rPr>
          <w:b/>
        </w:rPr>
        <w:t>Phase 1 foundation</w:t>
      </w:r>
      <w:r>
        <w:t xml:space="preserve"> (FR-03 marts, FR-04 RLS + scope-leak harness + metric suppression, FR-02 KPI engine, FR-12 freshness, FR-01 dashboards, deterministic retirement); </w:t>
      </w:r>
      <w:r>
        <w:rPr>
          <w:b/>
        </w:rPr>
        <w:t>Phase 2</w:t>
      </w:r>
      <w:r>
        <w:t xml:space="preserve"> (FR-05/06/07 suites, FR-08 builder, FR-09 export, FR-10 drill, FR-11 alerts, FR-14 benchmark); </w:t>
      </w:r>
      <w:r>
        <w:rPr>
          <w:b/>
        </w:rPr>
        <w:t>Phase 3 advanced</w:t>
      </w:r>
      <w:r>
        <w:t xml:space="preserve"> (probabilistic predictive with fairness gate, FR-15 NL/embed, FR-16 briefing). Trim the consumption widget palette (defer MAP/FUNNEL) without trimming the authoring catalog. *(R15)*</w:t>
      </w:r>
    </w:p>
    <w:p>
      <w:pPr>
        <w:pStyle w:val="ListNumber"/>
      </w:pPr>
      <w:r>
        <w:rPr>
          <w:b/>
        </w:rPr>
        <w:t>Role-adaptive (dual-register) language.</w:t>
      </w:r>
      <w:r>
        <w:t xml:space="preserve"> Freshness states and KPI explanations render in </w:t>
      </w:r>
      <w:r>
        <w:rPr>
          <w:b/>
        </w:rPr>
        <w:t>plain language for leaders/employees</w:t>
      </w:r>
      <w:r>
        <w:t xml:space="preserve"> ("Numbers are a day behind — payroll still updating") and </w:t>
      </w:r>
      <w:r>
        <w:rPr>
          <w:b/>
        </w:rPr>
        <w:t>technical language for operators/auditors</w:t>
      </w:r>
      <w:r>
        <w:t xml:space="preserve"> (DEGRADED/partial/watermark), keyed off role. Promise the plain-language </w:t>
      </w:r>
      <w:r>
        <w:rPr>
          <w:rFonts w:ascii="Consolas" w:hAnsi="Consolas"/>
          <w:sz w:val="20"/>
        </w:rPr>
        <w:t>kpi_definition.description</w:t>
      </w:r>
      <w:r>
        <w:t xml:space="preserve"> on every consumer tile. *(R16, D)*</w:t>
      </w:r>
    </w:p>
    <w:p>
      <w:pPr>
        <w:pStyle w:val="ListNumber"/>
      </w:pPr>
      <w:r>
        <w:rPr>
          <w:b/>
        </w:rPr>
        <w:t>Access-anomaly detection (best-in-class).</w:t>
      </w:r>
      <w:r>
        <w:t xml:space="preserve"> Add proactive anomaly detection over </w:t>
      </w:r>
      <w:r>
        <w:rPr>
          <w:rFonts w:ascii="Consolas" w:hAnsi="Consolas"/>
          <w:sz w:val="20"/>
        </w:rPr>
        <w:t>analytics_access_log</w:t>
      </w:r>
      <w:r>
        <w:t xml:space="preserve"> (e.g., out-of-hours bulk export, scope-edge probing, unusual drill-through volume) raising alerts to Auditor/Analytics Admin — turning the audit ledger from forensic-only into preventive. *(world-class addition; B, council)*</w:t>
      </w:r>
    </w:p>
    <w:p>
      <w:pPr>
        <w:pStyle w:val="ListNumber"/>
      </w:pPr>
      <w:r>
        <w:rPr>
          <w:b/>
        </w:rPr>
        <w:t>Reconciliation explainer for users.</w:t>
      </w:r>
      <w:r>
        <w:t xml:space="preserve"> Add a user-facing "why does this differ from the source?" panel that shows </w:t>
      </w:r>
      <w:r>
        <w:rPr>
          <w:rFonts w:ascii="Consolas" w:hAnsi="Consolas"/>
          <w:sz w:val="20"/>
        </w:rPr>
        <w:t>data_as_of</w:t>
      </w:r>
      <w:r>
        <w:t>, the watermark, and any in-flight correction — addressing the "headcount disagrees with payroll" problem the BRD's own §1.2 names as the core pain. *(D)*</w:t>
      </w:r>
    </w:p>
    <w:p>
      <w:r>
        <w:t>*Council complete. 16 risks registered; 21 adopted improvements for BRD v2.*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Idea Evaluator — Council Report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