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b/>
          <w:color w:val="1B3A5C"/>
          <w:sz w:val="56"/>
        </w:rPr>
        <w:t>Adversarial Idea Evaluation</w:t>
      </w:r>
    </w:p>
    <w:p>
      <w:pPr>
        <w:spacing w:after="200"/>
        <w:jc w:val="center"/>
      </w:pPr>
      <w:r>
        <w:rPr>
          <w:rFonts w:ascii="Arial" w:hAnsi="Arial"/>
          <w:b/>
          <w:color w:val="2E75B6"/>
          <w:sz w:val="36"/>
        </w:rPr>
        <w:t>Project Atlas — Gap Analysis &amp; Remediation Plan</w:t>
      </w:r>
    </w:p>
    <w:p>
      <w:pPr>
        <w:spacing w:after="1600"/>
        <w:jc w:val="center"/>
      </w:pPr>
      <w:r>
        <w:rPr>
          <w:rFonts w:ascii="Arial" w:hAnsi="Arial"/>
          <w:i/>
          <w:color w:val="555555"/>
          <w:sz w:val="24"/>
        </w:rPr>
        <w:t>Evaluated against Project Atlas BRD v3.0 (Development-Ready, Adversarially Reviewed)</w:t>
      </w:r>
    </w:p>
    <w:p>
      <w:pPr>
        <w:jc w:val="center"/>
      </w:pPr>
      <w:r>
        <w:rPr>
          <w:rFonts w:ascii="Arial" w:hAnsi="Arial"/>
          <w:i/>
          <w:color w:val="000000"/>
          <w:sz w:val="22"/>
        </w:rPr>
        <w:t>A five-round structured adversarial debate stress-testing the twelve gap findings, six-phase delivery plan, and prioritised P0–P3 backlog proposed in the 29-Apr-2026 remediation plan.</w:t>
      </w:r>
    </w:p>
    <w:p>
      <w:pPr>
        <w:spacing w:before="800"/>
        <w:jc w:val="center"/>
      </w:pPr>
      <w:r>
        <w:rPr>
          <w:rFonts w:ascii="Arial" w:hAnsi="Arial"/>
          <w:color w:val="555555"/>
          <w:sz w:val="22"/>
        </w:rPr>
        <w:t>Date: 29 April 2026</w:t>
        <w:br/>
      </w:r>
      <w:r>
        <w:rPr>
          <w:rFonts w:ascii="Arial" w:hAnsi="Arial"/>
          <w:color w:val="555555"/>
          <w:sz w:val="22"/>
        </w:rPr>
        <w:t>Prepared by: ADS Softek</w:t>
        <w:br/>
      </w:r>
      <w:r>
        <w:rPr>
          <w:rFonts w:ascii="Arial" w:hAnsi="Arial"/>
          <w:color w:val="555555"/>
          <w:sz w:val="22"/>
        </w:rPr>
        <w:t>Classification: Confidential</w:t>
        <w:br/>
      </w:r>
    </w:p>
    <w:p>
      <w:r>
        <w:br w:type="page"/>
      </w:r>
    </w:p>
    <w:p>
      <w:pPr>
        <w:pStyle w:val="Heading1"/>
        <w:keepNext/>
        <w:spacing w:before="280" w:after="120"/>
      </w:pPr>
      <w:r>
        <w:rPr>
          <w:rFonts w:ascii="Arial" w:hAnsi="Arial"/>
          <w:b/>
          <w:color w:val="1B3A5C"/>
          <w:sz w:val="36"/>
        </w:rPr>
        <w:t>1. Executive Summary</w:t>
      </w:r>
    </w:p>
    <w:p>
      <w:pPr>
        <w:spacing w:after="120" w:line="276" w:lineRule="auto"/>
      </w:pPr>
      <w:r>
        <w:rPr>
          <w:rFonts w:ascii="Arial" w:hAnsi="Arial"/>
          <w:b w:val="0"/>
          <w:i w:val="0"/>
          <w:color w:val="000000"/>
          <w:sz w:val="22"/>
        </w:rPr>
        <w:t>The remediation plan is a substantively correct, well-sequenced engineering response to the present state of the Project Atlas codebase. It correctly diagnoses that the repository is a partial backend + mocked frontend scaffold, correctly identifies that the highest-leverage next move is one real vertical slice (fixture email → ingestion → classification → master validation → case → routing → SLA → workbench → audit → notification), and correctly de-prioritises broad scope expansion until that slice is real. Across five rounds of adversarial debate, the core thesis survived intact.</w:t>
      </w:r>
    </w:p>
    <w:p>
      <w:pPr>
        <w:spacing w:after="120" w:line="276" w:lineRule="auto"/>
      </w:pPr>
      <w:r>
        <w:rPr>
          <w:rFonts w:ascii="Arial" w:hAnsi="Arial"/>
          <w:b w:val="0"/>
          <w:i w:val="0"/>
          <w:color w:val="000000"/>
          <w:sz w:val="22"/>
        </w:rPr>
        <w:t>However, the debate exposed five non-trivial weaknesses that the plan as drafted does not yet address, and four BRD v3.0 commitments that the plan currently underweights. The plan's calendar is also optimistic for an ADS-Softek-staffed engagement against a regulated-finance client; realistic elapsed time from Phase 0 to a UAT-credible build is 14–18 weeks, not the 8–11 weeks the plan implies.</w:t>
      </w:r>
    </w:p>
    <w:p>
      <w:pPr>
        <w:pStyle w:val="Heading2"/>
        <w:keepNext/>
        <w:spacing w:before="280" w:after="120"/>
      </w:pPr>
      <w:r>
        <w:rPr>
          <w:rFonts w:ascii="Arial" w:hAnsi="Arial"/>
          <w:b/>
          <w:color w:val="1B3A5C"/>
          <w:sz w:val="28"/>
        </w:rPr>
        <w:t>Evolution of the plan through the debate</w:t>
      </w:r>
    </w:p>
    <w:p>
      <w:pPr>
        <w:spacing w:after="120" w:line="276" w:lineRule="auto"/>
      </w:pPr>
      <w:r>
        <w:rPr>
          <w:rFonts w:ascii="Arial" w:hAnsi="Arial"/>
          <w:b w:val="0"/>
          <w:i w:val="0"/>
          <w:color w:val="000000"/>
          <w:sz w:val="22"/>
        </w:rPr>
        <w:t>Round 1 surfaced the central tension: the plan optimises for engineering tractability (build the slice, prove the loop) while the BRD optimises for regulated-finance governance (accountability, calibrated accuracy, LLM-off operability, secondary-mailbox resilience, third-party audit). Both are right; the plan's current phase ordering risks burning the first six weeks on engineering deliverables that will need to be re-touched once governance constraints are layered in.</w:t>
      </w:r>
    </w:p>
    <w:p>
      <w:pPr>
        <w:spacing w:after="120" w:line="276" w:lineRule="auto"/>
      </w:pPr>
      <w:r>
        <w:rPr>
          <w:rFonts w:ascii="Arial" w:hAnsi="Arial"/>
          <w:b w:val="0"/>
          <w:i w:val="0"/>
          <w:color w:val="000000"/>
          <w:sz w:val="22"/>
        </w:rPr>
        <w:t>By Round 3 both sides agreed that three BRD-mandated artefacts must be treated as Phase 1 entrance criteria, not Phase 3 deliverables: (a) the Human Accountability banner (BRD §1.5) on every officer-facing screen, (b) FR-016 master-backed validation as the gate on case routing, and (c) the calibrated accuracy curve (BRD §1.6) hardwired into the AI evaluation harness. By Round 5 the plan was reshaped into a hybrid sequence in which Phase 1 carries forward minimal but real implementations of these three items rather than deferring them.</w:t>
      </w:r>
    </w:p>
    <w:p>
      <w:pPr>
        <w:pStyle w:val="Heading2"/>
        <w:keepNext/>
        <w:spacing w:before="280" w:after="120"/>
      </w:pPr>
      <w:r>
        <w:rPr>
          <w:rFonts w:ascii="Arial" w:hAnsi="Arial"/>
          <w:b/>
          <w:color w:val="1B3A5C"/>
          <w:sz w:val="28"/>
        </w:rPr>
        <w:t>Strengths that survived scrutiny</w:t>
      </w:r>
    </w:p>
    <w:p>
      <w:pPr>
        <w:spacing w:after="120" w:line="276" w:lineRule="auto"/>
      </w:pPr>
      <w:r>
        <w:rPr>
          <w:rFonts w:ascii="Arial" w:hAnsi="Arial"/>
          <w:b w:val="0"/>
          <w:i w:val="0"/>
          <w:color w:val="000000"/>
          <w:sz w:val="22"/>
        </w:rPr>
        <w:t>The vertical-slice priority is directionally correct and is the single highest-value engineering move available. The Maildev-before-Graph sequencing for email intake is sound and removes a class of avoidable early-stage failure. The recommendation to remove random jitter from the classifier and stand up packages/benchmark as the formal AI evaluation harness directly enables BRD §1.6 acceptance. The recognition that frontend localStorage tokens, hardcoded dev users, and unexposed core controllers are blocking issues for UAT is accurate. The P0/P1/P2/P3 ordering is internally coherent.</w:t>
      </w:r>
    </w:p>
    <w:p>
      <w:pPr>
        <w:pStyle w:val="Heading2"/>
        <w:keepNext/>
        <w:spacing w:before="280" w:after="120"/>
      </w:pPr>
      <w:r>
        <w:rPr>
          <w:rFonts w:ascii="Arial" w:hAnsi="Arial"/>
          <w:b/>
          <w:color w:val="1B3A5C"/>
          <w:sz w:val="28"/>
        </w:rPr>
        <w:t>Risks that remain after mitigation attempts</w:t>
      </w:r>
    </w:p>
    <w:p>
      <w:pPr>
        <w:spacing w:after="120" w:line="276" w:lineRule="auto"/>
      </w:pPr>
      <w:r>
        <w:rPr>
          <w:rFonts w:ascii="Arial" w:hAnsi="Arial"/>
          <w:b w:val="0"/>
          <w:i w:val="0"/>
          <w:color w:val="000000"/>
          <w:sz w:val="22"/>
        </w:rPr>
        <w:t>First, the plan treats authentication, RBAC/ABAC, and PII redaction as Phase 3 work. In a BRD v3.0 environment that names DPDP, RBI localisation, audit hash-chain, and consent ledger as foundational, allowing the vertical slice to ship without these in even a thin form risks establishing test data and audit-log content that has to be discarded and replayed later. Recommendation: pull a thin slice of FR-124 (deny-by-default RBAC), FR-123 (PII redaction at write-time), and FR-126 (hash-chain on audit log) into Phase 1.</w:t>
      </w:r>
    </w:p>
    <w:p>
      <w:pPr>
        <w:spacing w:after="120" w:line="276" w:lineRule="auto"/>
      </w:pPr>
      <w:r>
        <w:rPr>
          <w:rFonts w:ascii="Arial" w:hAnsi="Arial"/>
          <w:b w:val="0"/>
          <w:i w:val="0"/>
          <w:color w:val="000000"/>
          <w:sz w:val="22"/>
        </w:rPr>
        <w:t>Second, the plan's collateral-intelligence layer (Gap 12) is the right strategic instinct but is calendared too late. The BRD's Section 5.3 (Attachment Processing &amp; OCR) and Section 12.2 (phased rollout to v1.0) imply that collateral-specific data — disbursal blocker category, vendor quality rather than only TAT, valuation variance — must already be instrumented in the data model before MVP-Lite hardens, because a schema change after MVP-Lite costs 4–6× a schema change before it.</w:t>
      </w:r>
    </w:p>
    <w:p>
      <w:pPr>
        <w:spacing w:after="120" w:line="276" w:lineRule="auto"/>
      </w:pPr>
      <w:r>
        <w:rPr>
          <w:rFonts w:ascii="Arial" w:hAnsi="Arial"/>
          <w:b w:val="0"/>
          <w:i w:val="0"/>
          <w:color w:val="000000"/>
          <w:sz w:val="22"/>
        </w:rPr>
        <w:t>Third, the plan does not yet address the BRD's pre-MVP-Lite four-to-six-week master-data cleanup phase (BRD §4.0). Without canonical-form / source-forms population on loan_account, branch_code, vendor_code, FPR code, PIN, and case-type, FR-016 master-backed validation will fail at an unacceptable rate on real client data. This phase is not optional and must precede Phase 2's master-backed routing work.</w:t>
      </w:r>
    </w:p>
    <w:p>
      <w:pPr>
        <w:spacing w:after="120" w:line="276" w:lineRule="auto"/>
      </w:pPr>
      <w:r>
        <w:rPr>
          <w:rFonts w:ascii="Arial" w:hAnsi="Arial"/>
          <w:b w:val="0"/>
          <w:i w:val="0"/>
          <w:color w:val="000000"/>
          <w:sz w:val="22"/>
        </w:rPr>
        <w:t>Fourth, the plan's classifier work (Gap 4) is correct in the small but underweights the BRD's FR-128 LLM-Off requirement. The plan calls for a deterministic classifier and a benchmark harness, but the BRD requires the system to operate end-to-end with no LLM calls at all, with a documented ≥80% accuracy floor and a quarterly drill. This is an architecture commitment, not a benchmark commitment.</w:t>
      </w:r>
    </w:p>
    <w:p>
      <w:pPr>
        <w:spacing w:after="120" w:line="276" w:lineRule="auto"/>
      </w:pPr>
      <w:r>
        <w:rPr>
          <w:rFonts w:ascii="Arial" w:hAnsi="Arial"/>
          <w:b w:val="0"/>
          <w:i w:val="0"/>
          <w:color w:val="000000"/>
          <w:sz w:val="22"/>
        </w:rPr>
        <w:t>Fifth, the plan's intake-pipeline work (Gap 3) is correct in calling for Maildev first, but does not yet address FR-155 secondary mailbox / graceful degradation. The Graph integration in Phase 4 must be built alongside, not before, a Gmail / second-provider parallel ingestion path, otherwise primary-provider lock-in is established and FR-155 becomes a v1.5 retrofit.</w:t>
      </w:r>
    </w:p>
    <w:p>
      <w:pPr>
        <w:pStyle w:val="Heading2"/>
        <w:keepNext/>
        <w:spacing w:before="280" w:after="120"/>
      </w:pPr>
      <w:r>
        <w:rPr>
          <w:rFonts w:ascii="Arial" w:hAnsi="Arial"/>
          <w:b/>
          <w:color w:val="1B3A5C"/>
          <w:sz w:val="28"/>
        </w:rPr>
        <w:t>Overall assessment and recommendation</w:t>
      </w:r>
    </w:p>
    <w:p>
      <w:pPr>
        <w:spacing w:after="120" w:line="276" w:lineRule="auto"/>
      </w:pPr>
      <w:r>
        <w:rPr>
          <w:rFonts w:ascii="Arial" w:hAnsi="Arial"/>
          <w:b w:val="0"/>
          <w:i w:val="0"/>
          <w:color w:val="000000"/>
          <w:sz w:val="22"/>
        </w:rPr>
        <w:t>Recommendation: PROCEED with the plan, with five named modifications. The plan is a credible engineering blueprint and its central decision (narrow the work to one real vertical slice) is the right one. The modifications are not new scope; they are reorderings and pull-forwards of BRD v3.0 obligations that are already committed. With these modifications, the plan moves from a defensible engineering recovery plan to a BRD-traceable one.</w:t>
      </w:r>
    </w:p>
    <w:p>
      <w:pPr>
        <w:spacing w:after="120" w:line="276" w:lineRule="auto"/>
      </w:pPr>
      <w:r>
        <w:rPr>
          <w:rFonts w:ascii="Arial" w:hAnsi="Arial"/>
          <w:b w:val="0"/>
          <w:i w:val="0"/>
          <w:color w:val="000000"/>
          <w:sz w:val="22"/>
        </w:rPr>
        <w:t>Conditions under which the plan is most likely to succeed: (a) the client commits to the four-to-six-week master-data cleanup window before Phase 2 begins; (b) ADS-Softek staffing for the slice is at least one backend engineer + one frontend engineer + a part-time MLOps engineer for at least eight weeks; (c) Human Accountability banner, FR-016 validation, and benchmark harness are explicitly inside the Phase 1 definition of done; (d) a synthetic dev/UAT corpus per FR-129 is generated before any prompt iteration begins; (e) the West-India pilot go/no-go gate from BRD §12.2 is held over the build, not waived.</w:t>
      </w:r>
    </w:p>
    <w:p>
      <w:pPr>
        <w:spacing w:after="120" w:line="276" w:lineRule="auto"/>
      </w:pPr>
      <w:r>
        <w:rPr>
          <w:rFonts w:ascii="Arial" w:hAnsi="Arial"/>
          <w:b w:val="0"/>
          <w:i w:val="0"/>
          <w:color w:val="000000"/>
          <w:sz w:val="22"/>
        </w:rPr>
        <w:t>Conditions under which the plan is most likely to fail: scope creep back into 'add Microsoft Graph + Gmail + attachments + OCR + DMS in parallel'; allowing the frontend to remain mock-driven past Phase 1 exit; treating BRD §1.5 accountability as a copy-deck deliverable rather than a UI affordance; and any path in which UAT is attempted with localStorage tokens still active.</w:t>
      </w:r>
    </w:p>
    <w:p>
      <w:r>
        <w:br w:type="page"/>
      </w:r>
    </w:p>
    <w:p>
      <w:pPr>
        <w:pStyle w:val="Heading1"/>
        <w:keepNext/>
        <w:spacing w:before="280" w:after="120"/>
      </w:pPr>
      <w:r>
        <w:rPr>
          <w:rFonts w:ascii="Arial" w:hAnsi="Arial"/>
          <w:b/>
          <w:color w:val="1B3A5C"/>
          <w:sz w:val="36"/>
        </w:rPr>
        <w:t>2. Key Debate Highlights</w:t>
      </w:r>
    </w:p>
    <w:p>
      <w:pPr>
        <w:spacing w:after="120" w:line="276" w:lineRule="auto"/>
      </w:pPr>
      <w:r>
        <w:rPr>
          <w:rFonts w:ascii="Arial" w:hAnsi="Arial"/>
          <w:b w:val="0"/>
          <w:i w:val="0"/>
          <w:color w:val="000000"/>
          <w:sz w:val="22"/>
        </w:rPr>
        <w:t>Six pivotal exchanges from across the five rounds. These are the moments at which the debate turned, an assumption was exposed, or a modification entered the plan.</w:t>
      </w:r>
    </w:p>
    <w:p>
      <w:pPr>
        <w:pStyle w:val="Heading2"/>
        <w:keepNext/>
        <w:spacing w:before="280" w:after="120"/>
      </w:pPr>
      <w:r>
        <w:rPr>
          <w:rFonts w:ascii="Arial" w:hAnsi="Arial"/>
          <w:b/>
          <w:color w:val="1B3A5C"/>
          <w:sz w:val="28"/>
        </w:rPr>
        <w:t>Highlight 1 (Round 1): The vertical-slice thesis is robust, but the calendar is not</w:t>
      </w:r>
    </w:p>
    <w:p>
      <w:pPr>
        <w:spacing w:after="120" w:line="276" w:lineRule="auto"/>
      </w:pPr>
      <w:r>
        <w:rPr>
          <w:rFonts w:ascii="Arial" w:hAnsi="Arial"/>
          <w:b w:val="0"/>
          <w:i w:val="0"/>
          <w:color w:val="000000"/>
          <w:sz w:val="22"/>
        </w:rPr>
        <w:t>Proponent argued that the plan's Phase 1 (1–2 weeks) for the vertical slice is achievable because most of the backend services already exist; the work is exposing them through controllers and wiring the frontend. Opponent countered that the same Phase 1 also assumes integration tests, RBAC guards, error-shape consistency, and the removal of mock data — any one of which expands to fill a sprint when actually attempted. Judge sided with Opponent: the right move is to keep the slice goal but calendar Phase 1 at 3 weeks with explicit named deliverables, not 1–2 weeks of unspecified ones. This was the first modification absorbed into the final recommendation.</w:t>
      </w:r>
    </w:p>
    <w:p>
      <w:pPr>
        <w:pStyle w:val="Heading2"/>
        <w:keepNext/>
        <w:spacing w:before="280" w:after="120"/>
      </w:pPr>
      <w:r>
        <w:rPr>
          <w:rFonts w:ascii="Arial" w:hAnsi="Arial"/>
          <w:b/>
          <w:color w:val="1B3A5C"/>
          <w:sz w:val="28"/>
        </w:rPr>
        <w:t>Highlight 2 (Round 2): The accountability banner is not a UI polish item</w:t>
      </w:r>
    </w:p>
    <w:p>
      <w:pPr>
        <w:spacing w:after="120" w:line="276" w:lineRule="auto"/>
      </w:pPr>
      <w:r>
        <w:rPr>
          <w:rFonts w:ascii="Arial" w:hAnsi="Arial"/>
          <w:b w:val="0"/>
          <w:i w:val="0"/>
          <w:color w:val="000000"/>
          <w:sz w:val="22"/>
        </w:rPr>
        <w:t>Opponent observed that the plan calendars the Human Accountability banner (Gap 7) as Phase 2 work alongside other UI improvements, but BRD §1.5 names the banner as foundational and a contractual SOW term that AI vendors and internal sponsors must not soften. Proponent's initial response — that the banner is text and can be added at any time — was rejected by the Judge on the grounds that BRD §1.5 also requires audit-log header capture of the accountable Officer at every state transition (FR-126), which cannot be retrofitted onto a vertical slice without touching every transition path. This forced the banner and its audit hooks into Phase 1.</w:t>
      </w:r>
    </w:p>
    <w:p>
      <w:pPr>
        <w:pStyle w:val="Heading2"/>
        <w:keepNext/>
        <w:spacing w:before="280" w:after="120"/>
      </w:pPr>
      <w:r>
        <w:rPr>
          <w:rFonts w:ascii="Arial" w:hAnsi="Arial"/>
          <w:b/>
          <w:color w:val="1B3A5C"/>
          <w:sz w:val="28"/>
        </w:rPr>
        <w:t>Highlight 3 (Round 2): Master-data cleanup is the unspoken Phase 0</w:t>
      </w:r>
    </w:p>
    <w:p>
      <w:pPr>
        <w:spacing w:after="120" w:line="276" w:lineRule="auto"/>
      </w:pPr>
      <w:r>
        <w:rPr>
          <w:rFonts w:ascii="Arial" w:hAnsi="Arial"/>
          <w:b w:val="0"/>
          <w:i w:val="0"/>
          <w:color w:val="000000"/>
          <w:sz w:val="22"/>
        </w:rPr>
        <w:t>Judge surfaced BRD §4.0's four-to-six-week pre-MVP-Lite master-data cleanup phase, which the plan does not name. Proponent acknowledged the omission and proposed treating cleanup as parallel-track work alongside Phase 0 stabilisation. Opponent rejected this as unrealistic — cleanup requires a client-side master-data steward (LMS team) who is unlikely to be available on day one of the engagement, and the BRD makes cleanup gating, not parallel. The agreed resolution: insert a named Phase 0.5 (Master Cleanup), block Phase 2 entrance on its completion, and explicitly identify it as a dependency on client staffing.</w:t>
      </w:r>
    </w:p>
    <w:p>
      <w:pPr>
        <w:pStyle w:val="Heading2"/>
        <w:keepNext/>
        <w:spacing w:before="280" w:after="120"/>
      </w:pPr>
      <w:r>
        <w:rPr>
          <w:rFonts w:ascii="Arial" w:hAnsi="Arial"/>
          <w:b/>
          <w:color w:val="1B3A5C"/>
          <w:sz w:val="28"/>
        </w:rPr>
        <w:t>Highlight 4 (Round 3): LLM-Off is an architecture posture, not a benchmark</w:t>
      </w:r>
    </w:p>
    <w:p>
      <w:pPr>
        <w:spacing w:after="120" w:line="276" w:lineRule="auto"/>
      </w:pPr>
      <w:r>
        <w:rPr>
          <w:rFonts w:ascii="Arial" w:hAnsi="Arial"/>
          <w:b w:val="0"/>
          <w:i w:val="0"/>
          <w:color w:val="000000"/>
          <w:sz w:val="22"/>
        </w:rPr>
        <w:t>Opponent put the sharpest pressure here. The plan's Gap 4 remediation (removing random jitter, building a benchmark harness, tracking accuracy by language and case type) is good but does not satisfy FR-128, which requires the system to run end-to-end with no LLM calls at all in OFF mode and to have a documented ≥80% accuracy floor in that mode. Proponent initially countered that LLM-off testing would fall out of the benchmark harness; Opponent demonstrated this is false because the system also has to switch routing thresholds (0.85 in OFF vs 0.75 in ON), display a mode banner, and emit a different outbound footer. Judge ruled that LLM-Off must be a Phase 1 architectural commitment (the toggle, the threshold change, the banner) even if the distilled classifier is not fully tuned until Phase 5.</w:t>
      </w:r>
    </w:p>
    <w:p>
      <w:pPr>
        <w:pStyle w:val="Heading2"/>
        <w:keepNext/>
        <w:spacing w:before="280" w:after="120"/>
      </w:pPr>
      <w:r>
        <w:rPr>
          <w:rFonts w:ascii="Arial" w:hAnsi="Arial"/>
          <w:b/>
          <w:color w:val="1B3A5C"/>
          <w:sz w:val="28"/>
        </w:rPr>
        <w:t>Highlight 5 (Round 4): Collateral intelligence belongs in the schema before it belongs in the UI</w:t>
      </w:r>
    </w:p>
    <w:p>
      <w:pPr>
        <w:spacing w:after="120" w:line="276" w:lineRule="auto"/>
      </w:pPr>
      <w:r>
        <w:rPr>
          <w:rFonts w:ascii="Arial" w:hAnsi="Arial"/>
          <w:b w:val="0"/>
          <w:i w:val="0"/>
          <w:color w:val="000000"/>
          <w:sz w:val="22"/>
        </w:rPr>
        <w:t>Proponent originally agreed with the plan that collateral risk intelligence (Gap 12) is a v1.0+ deliverable. Judge pushed: schema evolutions after MVP-Lite cost dramatically more than schema evolutions before MVP-Lite, because production-like data has begun to land and migrations carry compliance review overhead. Opponent agreed. Resolution: while the dashboards, command centres, and risk-scoring logic are correctly v1.0+ work, the underlying fields (collateral risk flags, vendor quality dimensions beyond TAT, document completeness, disbursal blocker category, valuation variance, rework counter) should be added to the Prisma schema in Phase 2 even if not surfaced in the UI.</w:t>
      </w:r>
    </w:p>
    <w:p>
      <w:pPr>
        <w:pStyle w:val="Heading2"/>
        <w:keepNext/>
        <w:spacing w:before="280" w:after="120"/>
      </w:pPr>
      <w:r>
        <w:rPr>
          <w:rFonts w:ascii="Arial" w:hAnsi="Arial"/>
          <w:b/>
          <w:color w:val="1B3A5C"/>
          <w:sz w:val="28"/>
        </w:rPr>
        <w:t>Highlight 6 (Round 5): The plan needs a re-evaluation trigger, not just a delivery plan</w:t>
      </w:r>
    </w:p>
    <w:p>
      <w:pPr>
        <w:spacing w:after="120" w:line="276" w:lineRule="auto"/>
      </w:pPr>
      <w:r>
        <w:rPr>
          <w:rFonts w:ascii="Arial" w:hAnsi="Arial"/>
          <w:b w:val="0"/>
          <w:i w:val="0"/>
          <w:color w:val="000000"/>
          <w:sz w:val="22"/>
        </w:rPr>
        <w:t>Final exchange. Opponent observed that BRD §12.6 names watch-metrics and re-evaluation triggers — conditions under which the programme is re-evaluated rather than continued — and that the remediation plan inherits this obligation. The remediation plan currently has Acceptance Criteria per gap and Phase exit gates, but no explicit trigger that would cause the plan itself to be reconsidered. Proponent accepted and proposed three triggers, all absorbed into the final recommendation: (1) Phase 1 vertical slice not demonstrable end-to-end by week 5 of engineering effort; (2) classifier benchmark accuracy on a labelled sample failing to exceed 70% top-1 by Phase 5 entrance (which would indicate the classifier-architecture choice is wrong, not just untuned); (3) any failure of the West-India pilot go/no-go gate.</w:t>
      </w:r>
    </w:p>
    <w:p>
      <w:r>
        <w:br w:type="page"/>
      </w:r>
    </w:p>
    <w:p>
      <w:pPr>
        <w:pStyle w:val="Heading1"/>
        <w:keepNext/>
        <w:spacing w:before="280" w:after="120"/>
      </w:pPr>
      <w:r>
        <w:rPr>
          <w:rFonts w:ascii="Arial" w:hAnsi="Arial"/>
          <w:b/>
          <w:color w:val="1B3A5C"/>
          <w:sz w:val="36"/>
        </w:rPr>
        <w:t>3. Round-by-Round Debate</w:t>
      </w:r>
    </w:p>
    <w:p>
      <w:pPr>
        <w:spacing w:after="120" w:line="276" w:lineRule="auto"/>
      </w:pPr>
      <w:r>
        <w:rPr>
          <w:rFonts w:ascii="Arial" w:hAnsi="Arial"/>
          <w:b w:val="0"/>
          <w:i w:val="0"/>
          <w:color w:val="000000"/>
          <w:sz w:val="22"/>
        </w:rPr>
        <w:t>The five rounds in full. Each round runs Proponent → Opponent → Judge. Quotations from BRD v3.0 are used to ground arguments where relevant.</w:t>
      </w:r>
    </w:p>
    <w:p>
      <w:pPr>
        <w:pStyle w:val="Heading2"/>
        <w:keepNext/>
        <w:spacing w:before="280" w:after="120"/>
      </w:pPr>
      <w:r>
        <w:rPr>
          <w:rFonts w:ascii="Arial" w:hAnsi="Arial"/>
          <w:b/>
          <w:color w:val="1B3A5C"/>
          <w:sz w:val="28"/>
        </w:rPr>
        <w:t>Round 1 — Opening Cases</w:t>
      </w:r>
    </w:p>
    <w:p>
      <w:pPr>
        <w:keepNext/>
        <w:spacing w:before="160" w:after="40"/>
      </w:pPr>
      <w:r>
        <w:rPr>
          <w:rFonts w:ascii="Arial" w:hAnsi="Arial"/>
          <w:b/>
          <w:color w:val="2E75B6"/>
          <w:sz w:val="22"/>
        </w:rPr>
        <w:t>Proponent</w:t>
      </w:r>
    </w:p>
    <w:p>
      <w:pPr>
        <w:spacing w:after="120" w:line="276" w:lineRule="auto"/>
      </w:pPr>
      <w:r>
        <w:rPr>
          <w:rFonts w:ascii="Arial" w:hAnsi="Arial"/>
          <w:b w:val="0"/>
          <w:i w:val="0"/>
          <w:color w:val="000000"/>
          <w:sz w:val="22"/>
        </w:rPr>
        <w:t>The remediation plan correctly diagnoses what is in the repository today: real backend services for ingestion, classification, cases, masters, SLA, notifications, audit, and compliance, sitting behind a frontend that is almost entirely mock-driven and a controller layer that does not yet expose the most important workflows. Calling this an 'early MVP scaffold' is honest, and naming twelve specific gaps with severities, evidence, remediation plans, and acceptance criteria is the rare engineering document that would let an external reviewer agree, disagree, or negotiate at the level of specifics.</w:t>
      </w:r>
    </w:p>
    <w:p>
      <w:pPr>
        <w:spacing w:after="120" w:line="276" w:lineRule="auto"/>
      </w:pPr>
      <w:r>
        <w:rPr>
          <w:rFonts w:ascii="Arial" w:hAnsi="Arial"/>
          <w:b w:val="0"/>
          <w:i w:val="0"/>
          <w:color w:val="000000"/>
          <w:sz w:val="22"/>
        </w:rPr>
        <w:t>The strategic move at the centre of the plan is the right one: do not broaden scope, build one complete vertical slice — fixture email → ingestion → classification → master validation → case → routing → SLA → workbench → officer action → audit → notification — and make it real. This is precisely the 'first credible product slice' that lets every subsequent improvement attach to a live workflow rather than to a schema or a placeholder. It also matches the BRD v3.0 §2.5 four-tier scope cut philosophy: a contractually frozen MVP-Lite that proves the loop before MVP, v1.0, and v1.5 expand around it.</w:t>
      </w:r>
    </w:p>
    <w:p>
      <w:pPr>
        <w:spacing w:after="120" w:line="276" w:lineRule="auto"/>
      </w:pPr>
      <w:r>
        <w:rPr>
          <w:rFonts w:ascii="Arial" w:hAnsi="Arial"/>
          <w:b w:val="0"/>
          <w:i w:val="0"/>
          <w:color w:val="000000"/>
          <w:sz w:val="22"/>
        </w:rPr>
        <w:t>Phase ordering is also defensible. Stabilise the baseline, build the real loop, then harden routing/triage/SLA, then security/compliance, then real email and attachments, then AI evaluation, then collateral intelligence. Each phase sets up the next without forcing speculative work on top of unvalidated assumptions. The P0/P1/P2/P3 backlog is internally consistent with the phase plan and gives the engineering manager a daily decision aid.</w:t>
      </w:r>
    </w:p>
    <w:p>
      <w:pPr>
        <w:keepNext/>
        <w:spacing w:before="160" w:after="40"/>
      </w:pPr>
      <w:r>
        <w:rPr>
          <w:rFonts w:ascii="Arial" w:hAnsi="Arial"/>
          <w:b/>
          <w:color w:val="2E75B6"/>
          <w:sz w:val="22"/>
        </w:rPr>
        <w:t>Opponent</w:t>
      </w:r>
    </w:p>
    <w:p>
      <w:pPr>
        <w:spacing w:after="120" w:line="276" w:lineRule="auto"/>
      </w:pPr>
      <w:r>
        <w:rPr>
          <w:rFonts w:ascii="Arial" w:hAnsi="Arial"/>
          <w:b w:val="0"/>
          <w:i w:val="0"/>
          <w:color w:val="000000"/>
          <w:sz w:val="22"/>
        </w:rPr>
        <w:t>The diagnosis is correct. The sequence is wrong in three specific ways, and the calendar is optimistic.</w:t>
      </w:r>
    </w:p>
    <w:p>
      <w:pPr>
        <w:spacing w:after="120" w:line="276" w:lineRule="auto"/>
      </w:pPr>
      <w:r>
        <w:rPr>
          <w:rFonts w:ascii="Arial" w:hAnsi="Arial"/>
          <w:b w:val="0"/>
          <w:i w:val="0"/>
          <w:color w:val="000000"/>
          <w:sz w:val="22"/>
        </w:rPr>
        <w:t>First, the plan defers the BRD's most foundational commitment — the Human Accountability principle in §1.5 — to Phase 2 alongside generic UI improvements. BRD §1.5 is explicit: the principle is foundational to every other commitment; every officer-facing UI surface MUST include the permanent banner; audit-log header MUST record the accountable officer at every state transition; SOPs MUST reproduce the principle verbatim; this is a contractual SOW term. Treating this as Phase 2 work means Phase 1 will produce audit-log content and state-transition paths that have to be retrofitted, which means the audit-log hash chain (FR-126) gets re-anchored, which means the early demo's audit data is discarded.</w:t>
      </w:r>
    </w:p>
    <w:p>
      <w:pPr>
        <w:spacing w:after="120" w:line="276" w:lineRule="auto"/>
      </w:pPr>
      <w:r>
        <w:rPr>
          <w:rFonts w:ascii="Arial" w:hAnsi="Arial"/>
          <w:b w:val="0"/>
          <w:i w:val="0"/>
          <w:color w:val="000000"/>
          <w:sz w:val="22"/>
        </w:rPr>
        <w:t>Second, the plan's Phase 1 calendar of 1–2 weeks is unrealistic. The named Phase 1 deliverables are: case APIs, fixture email ingestion API, ingest-to-case orchestrator, classification persistence, case list/detail React Query integration, live dashboard aggregates, and audit entries. Each of these has well-known sub-tasks: API contract design, RBAC guards, error-shape consistency, OpenAPI documentation, integration tests, loading/empty/error states on the frontend, dashboard query design. ADS-Softek's typical pace on a regulated-finance client makes this three weeks of clean work, not one to two weeks.</w:t>
      </w:r>
    </w:p>
    <w:p>
      <w:pPr>
        <w:spacing w:after="120" w:line="276" w:lineRule="auto"/>
      </w:pPr>
      <w:r>
        <w:rPr>
          <w:rFonts w:ascii="Arial" w:hAnsi="Arial"/>
          <w:b w:val="0"/>
          <w:i w:val="0"/>
          <w:color w:val="000000"/>
          <w:sz w:val="22"/>
        </w:rPr>
        <w:t>Third, the plan never names the BRD §4.0 four-to-six-week pre-MVP-Lite master-data cleanup phase. This is the difference between FR-016 master-backed validation working at the contracted ≥98% lookup-success rate and falling over on real client data because loan-account formats differ across LMS branches and products. Without this phase, Phase 2 's master-backed routing work runs against masters that have never been normalised.</w:t>
      </w:r>
    </w:p>
    <w:p>
      <w:pPr>
        <w:keepNext/>
        <w:spacing w:before="160" w:after="40"/>
      </w:pPr>
      <w:r>
        <w:rPr>
          <w:rFonts w:ascii="Arial" w:hAnsi="Arial"/>
          <w:b/>
          <w:color w:val="2E75B6"/>
          <w:sz w:val="22"/>
        </w:rPr>
        <w:t>Judge</w:t>
      </w:r>
    </w:p>
    <w:p>
      <w:pPr>
        <w:spacing w:after="120" w:line="276" w:lineRule="auto"/>
      </w:pPr>
      <w:r>
        <w:rPr>
          <w:rFonts w:ascii="Arial" w:hAnsi="Arial"/>
          <w:b w:val="0"/>
          <w:i w:val="0"/>
          <w:color w:val="000000"/>
          <w:sz w:val="22"/>
        </w:rPr>
        <w:t>Both opening cases land. The Proponent has correctly read the central engineering decision; the Opponent has correctly read the contractual obligations the plan inherits from the BRD. The disagreements that will drive Rounds 2–5 are not whether to build the slice, but what is in the definition of done for each phase. I will track three open threads:</w:t>
      </w:r>
    </w:p>
    <w:p>
      <w:pPr>
        <w:spacing w:after="120" w:line="276" w:lineRule="auto"/>
      </w:pPr>
      <w:r>
        <w:rPr>
          <w:rFonts w:ascii="Arial" w:hAnsi="Arial"/>
          <w:b w:val="0"/>
          <w:i w:val="0"/>
          <w:color w:val="000000"/>
          <w:sz w:val="22"/>
        </w:rPr>
        <w:t>(a) Is the Human Accountability banner Phase 1 work or Phase 2 work? BRD §1.5 looks decisive; Proponent will need to either accept the pull-forward or argue why a deferred banner does not corrupt the audit chain.</w:t>
      </w:r>
    </w:p>
    <w:p>
      <w:pPr>
        <w:spacing w:after="120" w:line="276" w:lineRule="auto"/>
      </w:pPr>
      <w:r>
        <w:rPr>
          <w:rFonts w:ascii="Arial" w:hAnsi="Arial"/>
          <w:b w:val="0"/>
          <w:i w:val="0"/>
          <w:color w:val="000000"/>
          <w:sz w:val="22"/>
        </w:rPr>
        <w:t>(b) Is the master-data cleanup phase parallelisable with Phase 0, or must it gate Phase 2? This depends partly on client-side staffing availability — a real-world question, not just an engineering one.</w:t>
      </w:r>
    </w:p>
    <w:p>
      <w:pPr>
        <w:spacing w:after="120" w:line="276" w:lineRule="auto"/>
      </w:pPr>
      <w:r>
        <w:rPr>
          <w:rFonts w:ascii="Arial" w:hAnsi="Arial"/>
          <w:b w:val="0"/>
          <w:i w:val="0"/>
          <w:color w:val="000000"/>
          <w:sz w:val="22"/>
        </w:rPr>
        <w:t>(c) Is the Phase 1 calendar 1–2 weeks (Proponent) or 3 weeks (Opponent)? This is a question about ADS-Softek pace, which both sides should be able to characterise empirically. I will press for evidence in Round 2.</w:t>
      </w:r>
    </w:p>
    <w:p>
      <w:pPr>
        <w:spacing w:after="120" w:line="276" w:lineRule="auto"/>
      </w:pPr>
      <w:r>
        <w:rPr>
          <w:rFonts w:ascii="Arial" w:hAnsi="Arial"/>
          <w:b w:val="0"/>
          <w:i w:val="0"/>
          <w:color w:val="000000"/>
          <w:sz w:val="22"/>
        </w:rPr>
        <w:t>I am explicitly setting aside, for now, four arguments that I expect both sides to agree on by Round 3: that the localStorage token problem must be fixed before UAT; that the Microsoft Graph integration belongs after Maildev; that random jitter in the classifier must be removed; and that pnpm test must be a meaningful gate. These are not contested. The contested questions are sequencing and calendar.</w:t>
      </w:r>
    </w:p>
    <w:p>
      <w:pPr>
        <w:pStyle w:val="Heading2"/>
        <w:keepNext/>
        <w:spacing w:before="280" w:after="120"/>
      </w:pPr>
      <w:r>
        <w:rPr>
          <w:rFonts w:ascii="Arial" w:hAnsi="Arial"/>
          <w:b/>
          <w:color w:val="1B3A5C"/>
          <w:sz w:val="28"/>
        </w:rPr>
        <w:t>Round 2 — Deepening</w:t>
      </w:r>
    </w:p>
    <w:p>
      <w:pPr>
        <w:keepNext/>
        <w:spacing w:before="160" w:after="40"/>
      </w:pPr>
      <w:r>
        <w:rPr>
          <w:rFonts w:ascii="Arial" w:hAnsi="Arial"/>
          <w:b/>
          <w:color w:val="2E75B6"/>
          <w:sz w:val="22"/>
        </w:rPr>
        <w:t>Proponent</w:t>
      </w:r>
    </w:p>
    <w:p>
      <w:pPr>
        <w:spacing w:after="120" w:line="276" w:lineRule="auto"/>
      </w:pPr>
      <w:r>
        <w:rPr>
          <w:rFonts w:ascii="Arial" w:hAnsi="Arial"/>
          <w:b w:val="0"/>
          <w:i w:val="0"/>
          <w:color w:val="000000"/>
          <w:sz w:val="22"/>
        </w:rPr>
        <w:t>Conceding Judge's question (a): the Human Accountability banner pulls into Phase 1. The cost of doing this in Phase 1 is bounded — it is a header component, an officer-id field on case state transitions, and an audit-log payload addition. The cost of NOT doing it in Phase 1 is unbounded, because every audit-log row written without the accountable-officer field has to be either rewritten (which breaks the hash chain) or accepted as not-yet-compliant (which contradicts BRD §1.5's 'foundational' framing). I now propose that Phase 1 explicitly include: (i) the non-dismissable banner on case detail and triage screens, (ii) accountable_officer_id on every Case_Activity_Log row from the start, and (iii) ai_confidence captured at every state transition.</w:t>
      </w:r>
    </w:p>
    <w:p>
      <w:pPr>
        <w:spacing w:after="120" w:line="276" w:lineRule="auto"/>
      </w:pPr>
      <w:r>
        <w:rPr>
          <w:rFonts w:ascii="Arial" w:hAnsi="Arial"/>
          <w:b w:val="0"/>
          <w:i w:val="0"/>
          <w:color w:val="000000"/>
          <w:sz w:val="22"/>
        </w:rPr>
        <w:t>On Judge's question (b): I accept that BRD §4.0 makes master-data cleanup gating, not parallel. The right answer is to insert a named Phase 0.5 (Master Cleanup) between Phase 0 and Phase 1. Phase 0.5 blocks Phase 2 entrance, not Phase 1 entrance, because the vertical slice can be built against fixture data first. Phase 0.5 is calendared at 4 weeks elapsed (the BRD's lower bound) with the named dependency: one ADS-Softek data engineer + one client-side LMS master-data steward available 50% time.</w:t>
      </w:r>
    </w:p>
    <w:p>
      <w:pPr>
        <w:spacing w:after="120" w:line="276" w:lineRule="auto"/>
      </w:pPr>
      <w:r>
        <w:rPr>
          <w:rFonts w:ascii="Arial" w:hAnsi="Arial"/>
          <w:b w:val="0"/>
          <w:i w:val="0"/>
          <w:color w:val="000000"/>
          <w:sz w:val="22"/>
        </w:rPr>
        <w:t>On Judge's question (c): I revise the Phase 1 estimate to 3 weeks. Empirically, our internal velocity on typed-API-client + React-Query + controller exposure work, with RBAC guards and integration tests, runs at roughly 12–15 named deliverables per 2-week sprint per pair. The Phase 1 list is 9 named deliverables plus integration tests plus mock removal — that is one and a half sprints with a buffer for the audit-chain integration that the accountability banner now adds.</w:t>
      </w:r>
    </w:p>
    <w:p>
      <w:pPr>
        <w:keepNext/>
        <w:spacing w:before="160" w:after="40"/>
      </w:pPr>
      <w:r>
        <w:rPr>
          <w:rFonts w:ascii="Arial" w:hAnsi="Arial"/>
          <w:b/>
          <w:color w:val="2E75B6"/>
          <w:sz w:val="22"/>
        </w:rPr>
        <w:t>Opponent</w:t>
      </w:r>
    </w:p>
    <w:p>
      <w:pPr>
        <w:spacing w:after="120" w:line="276" w:lineRule="auto"/>
      </w:pPr>
      <w:r>
        <w:rPr>
          <w:rFonts w:ascii="Arial" w:hAnsi="Arial"/>
          <w:b w:val="0"/>
          <w:i w:val="0"/>
          <w:color w:val="000000"/>
          <w:sz w:val="22"/>
        </w:rPr>
        <w:t>I accept all three of Proponent's revisions. They are real concessions and they make the plan stronger. Three new concerns for this round.</w:t>
      </w:r>
    </w:p>
    <w:p>
      <w:pPr>
        <w:spacing w:after="120" w:line="276" w:lineRule="auto"/>
      </w:pPr>
      <w:r>
        <w:rPr>
          <w:rFonts w:ascii="Arial" w:hAnsi="Arial"/>
          <w:b w:val="0"/>
          <w:i w:val="0"/>
          <w:color w:val="000000"/>
          <w:sz w:val="22"/>
        </w:rPr>
        <w:t>First, the plan's Gap 5 (Authentication Is Prototype-Grade) is calendared as Phase 3 work — 1–2 weeks elapsed. The named deliverables are: AUTH_MODE flag, OIDC against local Keycloak, httpOnly secure cookies or a backend-for-frontend pattern, persisted users/roles in the database, MFA on admin actions, and ABAC region filtering. This is not 1–2 weeks of work in any environment I have seen. OIDC integration with a real client IdP (Azure AD or Okta) is typically 2 weeks alone; the BFF session pattern is another 1–2 weeks; ABAC region filtering on case and master endpoints with test coverage is 1 week minimum. Realistic Phase 3 calendar is 4 weeks, not 1–2.</w:t>
      </w:r>
    </w:p>
    <w:p>
      <w:pPr>
        <w:spacing w:after="120" w:line="276" w:lineRule="auto"/>
      </w:pPr>
      <w:r>
        <w:rPr>
          <w:rFonts w:ascii="Arial" w:hAnsi="Arial"/>
          <w:b w:val="0"/>
          <w:i w:val="0"/>
          <w:color w:val="000000"/>
          <w:sz w:val="22"/>
        </w:rPr>
        <w:t>Second, the plan does not name FR-128 (LLM-Off Operational Mode) anywhere. This is a serious omission. FR-128 requires a global LLM_ENABLED toggle (ON/DEGRADED/OFF), automatic threshold tightening to 0.85 in OFF mode, a workbench mode banner, an outbound footer noting fallback mode, and a quarterly drill. The Gap 4 remediation talks about a benchmark harness and a deterministic classifier but never talks about the architectural toggle. I want this named as a Phase 1 architectural commitment — the toggle, the threshold change, the banner — even if the distilled classifier is not tuned until Phase 5.</w:t>
      </w:r>
    </w:p>
    <w:p>
      <w:pPr>
        <w:spacing w:after="120" w:line="276" w:lineRule="auto"/>
      </w:pPr>
      <w:r>
        <w:rPr>
          <w:rFonts w:ascii="Arial" w:hAnsi="Arial"/>
          <w:b w:val="0"/>
          <w:i w:val="0"/>
          <w:color w:val="000000"/>
          <w:sz w:val="22"/>
        </w:rPr>
        <w:t>Third, the plan's Gap 12 (Collateral Risk Intelligence) is calendared for v1.0+. Schema additions for collateral risk flags, vendor quality dimensions, document completeness, disbursal blocker category, valuation variance, and rework should be added in Phase 2 — not in v1.0+ — because schema evolutions after MVP-Lite are 4–6× the cost of schema evolutions before. The dashboards and risk-scoring logic can still be v1.0+ work; only the schema backbones are Phase 2.</w:t>
      </w:r>
    </w:p>
    <w:p>
      <w:pPr>
        <w:keepNext/>
        <w:spacing w:before="160" w:after="40"/>
      </w:pPr>
      <w:r>
        <w:rPr>
          <w:rFonts w:ascii="Arial" w:hAnsi="Arial"/>
          <w:b/>
          <w:color w:val="2E75B6"/>
          <w:sz w:val="22"/>
        </w:rPr>
        <w:t>Judge</w:t>
      </w:r>
    </w:p>
    <w:p>
      <w:pPr>
        <w:spacing w:after="120" w:line="276" w:lineRule="auto"/>
      </w:pPr>
      <w:r>
        <w:rPr>
          <w:rFonts w:ascii="Arial" w:hAnsi="Arial"/>
          <w:b w:val="0"/>
          <w:i w:val="0"/>
          <w:color w:val="000000"/>
          <w:sz w:val="22"/>
        </w:rPr>
        <w:t>Three open threads now resolved or progressing:</w:t>
      </w:r>
    </w:p>
    <w:p>
      <w:pPr>
        <w:spacing w:after="120" w:line="276" w:lineRule="auto"/>
      </w:pPr>
      <w:r>
        <w:rPr>
          <w:rFonts w:ascii="Arial" w:hAnsi="Arial"/>
          <w:b w:val="0"/>
          <w:i w:val="0"/>
          <w:color w:val="000000"/>
          <w:sz w:val="22"/>
        </w:rPr>
        <w:t>(a) RESOLVED. Banner pulls into Phase 1. Both sides agree.</w:t>
      </w:r>
    </w:p>
    <w:p>
      <w:pPr>
        <w:spacing w:after="120" w:line="276" w:lineRule="auto"/>
      </w:pPr>
      <w:r>
        <w:rPr>
          <w:rFonts w:ascii="Arial" w:hAnsi="Arial"/>
          <w:b w:val="0"/>
          <w:i w:val="0"/>
          <w:color w:val="000000"/>
          <w:sz w:val="22"/>
        </w:rPr>
        <w:t>(b) RESOLVED in principle. Phase 0.5 master-data cleanup is named, gates Phase 2, and depends on client-side staffing. I am noting that the dependency on a client-side LMS master-data steward is the single largest external-blocker risk in the plan and will press in Round 3 for the contingency if that staffing is delayed.</w:t>
      </w:r>
    </w:p>
    <w:p>
      <w:pPr>
        <w:spacing w:after="120" w:line="276" w:lineRule="auto"/>
      </w:pPr>
      <w:r>
        <w:rPr>
          <w:rFonts w:ascii="Arial" w:hAnsi="Arial"/>
          <w:b w:val="0"/>
          <w:i w:val="0"/>
          <w:color w:val="000000"/>
          <w:sz w:val="22"/>
        </w:rPr>
        <w:t>(c) RESOLVED. Phase 1 is 3 weeks.</w:t>
      </w:r>
    </w:p>
    <w:p>
      <w:pPr>
        <w:spacing w:after="120" w:line="276" w:lineRule="auto"/>
      </w:pPr>
      <w:r>
        <w:rPr>
          <w:rFonts w:ascii="Arial" w:hAnsi="Arial"/>
          <w:b w:val="0"/>
          <w:i w:val="0"/>
          <w:color w:val="000000"/>
          <w:sz w:val="22"/>
        </w:rPr>
        <w:t>Three new threads from Round 2:</w:t>
      </w:r>
    </w:p>
    <w:p>
      <w:pPr>
        <w:spacing w:after="120" w:line="276" w:lineRule="auto"/>
      </w:pPr>
      <w:r>
        <w:rPr>
          <w:rFonts w:ascii="Arial" w:hAnsi="Arial"/>
          <w:b w:val="0"/>
          <w:i w:val="0"/>
          <w:color w:val="000000"/>
          <w:sz w:val="22"/>
        </w:rPr>
        <w:t>(d) Phase 3 is 1–2 weeks (plan as drafted) vs 4 weeks (Opponent). Proponent should respond.</w:t>
      </w:r>
    </w:p>
    <w:p>
      <w:pPr>
        <w:spacing w:after="120" w:line="276" w:lineRule="auto"/>
      </w:pPr>
      <w:r>
        <w:rPr>
          <w:rFonts w:ascii="Arial" w:hAnsi="Arial"/>
          <w:b w:val="0"/>
          <w:i w:val="0"/>
          <w:color w:val="000000"/>
          <w:sz w:val="22"/>
        </w:rPr>
        <w:t>(e) FR-128 LLM-Off mode — is it Phase 1 architectural commitment (Opponent) or implicit in Phase 5 benchmark work (plan as drafted)? I am minded to side with Opponent here but want Proponent's response.</w:t>
      </w:r>
    </w:p>
    <w:p>
      <w:pPr>
        <w:spacing w:after="120" w:line="276" w:lineRule="auto"/>
      </w:pPr>
      <w:r>
        <w:rPr>
          <w:rFonts w:ascii="Arial" w:hAnsi="Arial"/>
          <w:b w:val="0"/>
          <w:i w:val="0"/>
          <w:color w:val="000000"/>
          <w:sz w:val="22"/>
        </w:rPr>
        <w:t>(f) Collateral-intelligence schema — Phase 2 (Opponent) or v1.0+ (plan as drafted)? Proponent should respond. The economics argument is strong; the engineering counter-argument would have to show why the schema can wait.</w:t>
      </w:r>
    </w:p>
    <w:p>
      <w:pPr>
        <w:pStyle w:val="Heading2"/>
        <w:keepNext/>
        <w:spacing w:before="280" w:after="120"/>
      </w:pPr>
      <w:r>
        <w:rPr>
          <w:rFonts w:ascii="Arial" w:hAnsi="Arial"/>
          <w:b/>
          <w:color w:val="1B3A5C"/>
          <w:sz w:val="28"/>
        </w:rPr>
        <w:t>Round 3 — Pressure Testing</w:t>
      </w:r>
    </w:p>
    <w:p>
      <w:pPr>
        <w:keepNext/>
        <w:spacing w:before="160" w:after="40"/>
      </w:pPr>
      <w:r>
        <w:rPr>
          <w:rFonts w:ascii="Arial" w:hAnsi="Arial"/>
          <w:b/>
          <w:color w:val="2E75B6"/>
          <w:sz w:val="22"/>
        </w:rPr>
        <w:t>Proponent</w:t>
      </w:r>
    </w:p>
    <w:p>
      <w:pPr>
        <w:spacing w:after="120" w:line="276" w:lineRule="auto"/>
      </w:pPr>
      <w:r>
        <w:rPr>
          <w:rFonts w:ascii="Arial" w:hAnsi="Arial"/>
          <w:b w:val="0"/>
          <w:i w:val="0"/>
          <w:color w:val="000000"/>
          <w:sz w:val="22"/>
        </w:rPr>
        <w:t>On thread (d), Phase 3 calendar: I accept the revision to 4 weeks. The 1–2 weeks in the original plan was a programme-level estimate that did not account for client-IdP integration time, which is a known-known. Naming Phase 3 as 4 weeks also lets us realistically include the FR-125 MFA enforcement on SysAdmin / MDA / Compliance / Head roles, which the plan as drafted skirted.</w:t>
      </w:r>
    </w:p>
    <w:p>
      <w:pPr>
        <w:spacing w:after="120" w:line="276" w:lineRule="auto"/>
      </w:pPr>
      <w:r>
        <w:rPr>
          <w:rFonts w:ascii="Arial" w:hAnsi="Arial"/>
          <w:b w:val="0"/>
          <w:i w:val="0"/>
          <w:color w:val="000000"/>
          <w:sz w:val="22"/>
        </w:rPr>
        <w:t>On thread (e), FR-128 LLM-Off: I accept that the architectural commitment belongs in Phase 1. Concretely: Phase 1 will introduce the LLM_ENABLED config (ON/DEGRADED/OFF), implement the threshold-change behaviour at the classifier-pipeline entrypoint, and render the mode banner. The distilled-classifier tuning, the regex/dictionary NER fallback paths, the outbound footer change, and the quarterly drill playbook remain Phase 5 work. This is a clean cut: Phase 1 owns the toggle and the visible affordances; Phase 5 owns the accuracy floor.</w:t>
      </w:r>
    </w:p>
    <w:p>
      <w:pPr>
        <w:spacing w:after="120" w:line="276" w:lineRule="auto"/>
      </w:pPr>
      <w:r>
        <w:rPr>
          <w:rFonts w:ascii="Arial" w:hAnsi="Arial"/>
          <w:b w:val="0"/>
          <w:i w:val="0"/>
          <w:color w:val="000000"/>
          <w:sz w:val="22"/>
        </w:rPr>
        <w:t>On thread (f), collateral-intelligence schema: I accept the Round 2 argument with one modification. Phase 2 will add the fields named (collateral risk flags, vendor quality dimensions beyond TAT, document completeness, disbursal blocker category, valuation variance, rework counter) as nullable columns with default NULL behaviour. The officer-facing UI will not surface them in Phase 2; they will be populated by inference in Phase 6. This avoids the migration-cost problem without adding UI work to Phase 2's already-full plate.</w:t>
      </w:r>
    </w:p>
    <w:p>
      <w:pPr>
        <w:keepNext/>
        <w:spacing w:before="160" w:after="40"/>
      </w:pPr>
      <w:r>
        <w:rPr>
          <w:rFonts w:ascii="Arial" w:hAnsi="Arial"/>
          <w:b/>
          <w:color w:val="2E75B6"/>
          <w:sz w:val="22"/>
        </w:rPr>
        <w:t>Opponent</w:t>
      </w:r>
    </w:p>
    <w:p>
      <w:pPr>
        <w:spacing w:after="120" w:line="276" w:lineRule="auto"/>
      </w:pPr>
      <w:r>
        <w:rPr>
          <w:rFonts w:ascii="Arial" w:hAnsi="Arial"/>
          <w:b w:val="0"/>
          <w:i w:val="0"/>
          <w:color w:val="000000"/>
          <w:sz w:val="22"/>
        </w:rPr>
        <w:t>All three concessions are acceptable. Three remaining pressure points for this round.</w:t>
      </w:r>
    </w:p>
    <w:p>
      <w:pPr>
        <w:spacing w:after="120" w:line="276" w:lineRule="auto"/>
      </w:pPr>
      <w:r>
        <w:rPr>
          <w:rFonts w:ascii="Arial" w:hAnsi="Arial"/>
          <w:b w:val="0"/>
          <w:i w:val="0"/>
          <w:color w:val="000000"/>
          <w:sz w:val="22"/>
        </w:rPr>
        <w:t>First, FR-129 (Synthetic Email Corpus for Dev/UAT) is missing from the plan entirely. The BRD requires that dev and UAT NEVER receive copies of production emails and that a synthetic corpus of ~5,000 emails matching the historical distribution be generated before MVP-Lite kickoff. The plan's classifier work in Gap 4 talks about 'a labelled fixture corpus' but does not constrain it to be synthetic, and does not constrain it to be generated before any prompt iteration. This is a hard data-handling control under DPDP, not a nice-to-have, and it must be named in Phase 0.5 alongside the master cleanup, with the same blocking semantics: no prompt iteration begins until the synthetic corpus is signed and stored.</w:t>
      </w:r>
    </w:p>
    <w:p>
      <w:pPr>
        <w:spacing w:after="120" w:line="276" w:lineRule="auto"/>
      </w:pPr>
      <w:r>
        <w:rPr>
          <w:rFonts w:ascii="Arial" w:hAnsi="Arial"/>
          <w:b w:val="0"/>
          <w:i w:val="0"/>
          <w:color w:val="000000"/>
          <w:sz w:val="22"/>
        </w:rPr>
        <w:t>Second, FR-155 (Secondary Mailbox &amp; Graceful Degradation) is missing from the plan entirely. The plan's Phase 4 implements Microsoft Graph polling and webhooks, then 'Gmail secondary mailbox integration after primary flow stabilizes'. The BRD requires both providers polled in parallel with Message-ID de-duplication, automatic outbound SMTP failover, and a quarterly failover drill. If the Graph integration ships before the Gmail-parallel ingestion is designed in, FR-155 becomes a v1.5 retrofit, which means the BRD's resilience commitment is not honoured at v1.0 go-live. I want Phase 4 to ship Graph + Gmail parallel ingestion together, with the de-dup-by-Message-ID logic in the orchestrator from day one.</w:t>
      </w:r>
    </w:p>
    <w:p>
      <w:pPr>
        <w:spacing w:after="120" w:line="276" w:lineRule="auto"/>
      </w:pPr>
      <w:r>
        <w:rPr>
          <w:rFonts w:ascii="Arial" w:hAnsi="Arial"/>
          <w:b w:val="0"/>
          <w:i w:val="0"/>
          <w:color w:val="000000"/>
          <w:sz w:val="22"/>
        </w:rPr>
        <w:t>Third, the plan's Risk #3 (officer distrust of routing) is correctly named but is undermitigated. The plan calls for routing rationale to be visible in the case detail UI, which is good. It does not name what happens during the FR-016 fuzzy-match path — when a Levenshtein-distance-2 candidate is surfaced to the officer alongside the original extraction. This is a high-leverage UX decision: it is the moment at which the officer either trusts the system or distrusts it for the rest of the engagement. The plan should name a Phase 2 design exercise to specify the disambiguation modal.</w:t>
      </w:r>
    </w:p>
    <w:p>
      <w:pPr>
        <w:keepNext/>
        <w:spacing w:before="160" w:after="40"/>
      </w:pPr>
      <w:r>
        <w:rPr>
          <w:rFonts w:ascii="Arial" w:hAnsi="Arial"/>
          <w:b/>
          <w:color w:val="2E75B6"/>
          <w:sz w:val="22"/>
        </w:rPr>
        <w:t>Judge</w:t>
      </w:r>
    </w:p>
    <w:p>
      <w:pPr>
        <w:spacing w:after="120" w:line="276" w:lineRule="auto"/>
      </w:pPr>
      <w:r>
        <w:rPr>
          <w:rFonts w:ascii="Arial" w:hAnsi="Arial"/>
          <w:b w:val="0"/>
          <w:i w:val="0"/>
          <w:color w:val="000000"/>
          <w:sz w:val="22"/>
        </w:rPr>
        <w:t>Resolving threads (d), (e), (f) as accepted by both sides. The plan is now a richer object than it was at the end of Round 1.</w:t>
      </w:r>
    </w:p>
    <w:p>
      <w:pPr>
        <w:spacing w:after="120" w:line="276" w:lineRule="auto"/>
      </w:pPr>
      <w:r>
        <w:rPr>
          <w:rFonts w:ascii="Arial" w:hAnsi="Arial"/>
          <w:b w:val="0"/>
          <w:i w:val="0"/>
          <w:color w:val="000000"/>
          <w:sz w:val="22"/>
        </w:rPr>
        <w:t>New threads from Round 3:</w:t>
      </w:r>
    </w:p>
    <w:p>
      <w:pPr>
        <w:spacing w:after="120" w:line="276" w:lineRule="auto"/>
      </w:pPr>
      <w:r>
        <w:rPr>
          <w:rFonts w:ascii="Arial" w:hAnsi="Arial"/>
          <w:b w:val="0"/>
          <w:i w:val="0"/>
          <w:color w:val="000000"/>
          <w:sz w:val="22"/>
        </w:rPr>
        <w:t>(g) FR-129 synthetic corpus — pull into Phase 0.5 (Opponent) or leave implicit in Gap 4 (plan as drafted)? I rule for Opponent: this is a DPDP-binding data-handling control, not an engineering convenience, and it must precede any work that touches an LLM prompt.</w:t>
      </w:r>
    </w:p>
    <w:p>
      <w:pPr>
        <w:spacing w:after="120" w:line="276" w:lineRule="auto"/>
      </w:pPr>
      <w:r>
        <w:rPr>
          <w:rFonts w:ascii="Arial" w:hAnsi="Arial"/>
          <w:b w:val="0"/>
          <w:i w:val="0"/>
          <w:color w:val="000000"/>
          <w:sz w:val="22"/>
        </w:rPr>
        <w:t>(h) FR-155 secondary mailbox — Graph + Gmail in parallel from Phase 4 day one (Opponent) or sequenced with Gmail later (plan as drafted)? I rule for Opponent. The retrofit cost argument is the same one we applied to collateral-intelligence schema in Round 2, and it is reinforced here by the BRD's named quarterly failover drill.</w:t>
      </w:r>
    </w:p>
    <w:p>
      <w:pPr>
        <w:spacing w:after="120" w:line="276" w:lineRule="auto"/>
      </w:pPr>
      <w:r>
        <w:rPr>
          <w:rFonts w:ascii="Arial" w:hAnsi="Arial"/>
          <w:b w:val="0"/>
          <w:i w:val="0"/>
          <w:color w:val="000000"/>
          <w:sz w:val="22"/>
        </w:rPr>
        <w:t>(i) FR-016 disambiguation modal UX — name a Phase 2 design exercise (Opponent) or treat as implementation detail (plan as drafted)? I rule for Opponent. This is a small but high-leverage commitment.</w:t>
      </w:r>
    </w:p>
    <w:p>
      <w:pPr>
        <w:spacing w:after="120" w:line="276" w:lineRule="auto"/>
      </w:pPr>
      <w:r>
        <w:rPr>
          <w:rFonts w:ascii="Arial" w:hAnsi="Arial"/>
          <w:b w:val="0"/>
          <w:i w:val="0"/>
          <w:color w:val="000000"/>
          <w:sz w:val="22"/>
        </w:rPr>
        <w:t>By Round 4 I want both sides to converge on what 'definition of done' looks like for each of the now-six phases, including these modifications. Round 5 will be final argument.</w:t>
      </w:r>
    </w:p>
    <w:p>
      <w:pPr>
        <w:pStyle w:val="Heading2"/>
        <w:keepNext/>
        <w:spacing w:before="280" w:after="120"/>
      </w:pPr>
      <w:r>
        <w:rPr>
          <w:rFonts w:ascii="Arial" w:hAnsi="Arial"/>
          <w:b/>
          <w:color w:val="1B3A5C"/>
          <w:sz w:val="28"/>
        </w:rPr>
        <w:t>Round 4 — Synthesis</w:t>
      </w:r>
    </w:p>
    <w:p>
      <w:pPr>
        <w:keepNext/>
        <w:spacing w:before="160" w:after="40"/>
      </w:pPr>
      <w:r>
        <w:rPr>
          <w:rFonts w:ascii="Arial" w:hAnsi="Arial"/>
          <w:b/>
          <w:color w:val="2E75B6"/>
          <w:sz w:val="22"/>
        </w:rPr>
        <w:t>Proponent</w:t>
      </w:r>
    </w:p>
    <w:p>
      <w:pPr>
        <w:spacing w:after="120" w:line="276" w:lineRule="auto"/>
      </w:pPr>
      <w:r>
        <w:rPr>
          <w:rFonts w:ascii="Arial" w:hAnsi="Arial"/>
          <w:b w:val="0"/>
          <w:i w:val="0"/>
          <w:color w:val="000000"/>
          <w:sz w:val="22"/>
        </w:rPr>
        <w:t>I accept all three of Round 3's pressure points. The synthesised plan now reads as follows. Phase 0 (Stabilise the Baseline) is unchanged at 1 week. Phase 0.5 (Pre-MVP-Lite Cleanup) is new, calendared at 4 weeks elapsed in parallel with Phase 0, gates Phase 2, and contains: master-data normalisation per BRD §4.0 (canonical_form / source_forms on routable masters with ≥98% lookup-success-rate validation), synthetic-email corpus generation per FR-129, third-party AI auditor selection per BRD §12.7 — selected during MVP-Lite, scheduled for month 12.</w:t>
      </w:r>
    </w:p>
    <w:p>
      <w:pPr>
        <w:spacing w:after="120" w:line="276" w:lineRule="auto"/>
      </w:pPr>
      <w:r>
        <w:rPr>
          <w:rFonts w:ascii="Arial" w:hAnsi="Arial"/>
          <w:b w:val="0"/>
          <w:i w:val="0"/>
          <w:color w:val="000000"/>
          <w:sz w:val="22"/>
        </w:rPr>
        <w:t>Phase 1 (Vertical Slice) is 3 weeks and now contains: case APIs, fixture email ingestion API, ingest-to-case orchestrator, classification persistence, case list/detail React Query integration, live dashboard aggregates, audit entries with hash-chain anchoring, the FR-016 master-backed validation gate (using the Phase 0.5 cleaned masters), the Human Accountability banner, the LLM_ENABLED toggle with threshold-change behaviour and mode banner, and Vitest frontend smoke tests. Phase 2 (Routing/Triage/SLA) is 2 weeks and now also adds the collateral-intelligence schema columns (nullable, no UI), the FR-016 fuzzy-match disambiguation modal, and the SLA scheduler.</w:t>
      </w:r>
    </w:p>
    <w:p>
      <w:pPr>
        <w:spacing w:after="120" w:line="276" w:lineRule="auto"/>
      </w:pPr>
      <w:r>
        <w:rPr>
          <w:rFonts w:ascii="Arial" w:hAnsi="Arial"/>
          <w:b w:val="0"/>
          <w:i w:val="0"/>
          <w:color w:val="000000"/>
          <w:sz w:val="22"/>
        </w:rPr>
        <w:t>Phase 3 (Security/Compliance) is 4 weeks. Phase 4 (Real Email and Attachments) is 4 weeks and ships Microsoft Graph + Gmail parallel ingestion together with Message-ID de-duplication, outbound SMTP failover, and the FR-155 quarterly drill playbook. Phase 5 (AI Evaluation and Model Governance) is 2 weeks initial and ongoing, and now also delivers the distilled-classifier tuning, regex/dictionary NER fallback paths, outbound footer change, LLM-off quarterly drill playbook, and the §1.6 calibrated-curve weekly reporting. Phase 6 (Collateral Operations Intelligence) is v1.0+ work that surfaces the schema columns added in Phase 2.</w:t>
      </w:r>
    </w:p>
    <w:p>
      <w:pPr>
        <w:spacing w:after="120" w:line="276" w:lineRule="auto"/>
      </w:pPr>
      <w:r>
        <w:rPr>
          <w:rFonts w:ascii="Arial" w:hAnsi="Arial"/>
          <w:b w:val="0"/>
          <w:i w:val="0"/>
          <w:color w:val="000000"/>
          <w:sz w:val="22"/>
        </w:rPr>
        <w:t>Total elapsed calendar to UAT-credible build: Phase 0 + 0.5 in parallel = 4 weeks; Phase 1 = 3 weeks; Phase 2 = 2 weeks; Phase 3 = 4 weeks. That is 13 weeks elapsed before Phase 4 begins, plus 4 weeks of Phase 4 = 17 weeks before MVP. Add Phase 5's initial 2 weeks = 19 weeks to MVP plus a stable benchmark. This matches the BRD §12.2 MVP-Lite → MVP ladder more closely than the original plan's implied 8–11 weeks.</w:t>
      </w:r>
    </w:p>
    <w:p>
      <w:pPr>
        <w:keepNext/>
        <w:spacing w:before="160" w:after="40"/>
      </w:pPr>
      <w:r>
        <w:rPr>
          <w:rFonts w:ascii="Arial" w:hAnsi="Arial"/>
          <w:b/>
          <w:color w:val="2E75B6"/>
          <w:sz w:val="22"/>
        </w:rPr>
        <w:t>Opponent</w:t>
      </w:r>
    </w:p>
    <w:p>
      <w:pPr>
        <w:spacing w:after="120" w:line="276" w:lineRule="auto"/>
      </w:pPr>
      <w:r>
        <w:rPr>
          <w:rFonts w:ascii="Arial" w:hAnsi="Arial"/>
          <w:b w:val="0"/>
          <w:i w:val="0"/>
          <w:color w:val="000000"/>
          <w:sz w:val="22"/>
        </w:rPr>
        <w:t>I accept the synthesis. It is the right plan. Two final stress tests before Round 5.</w:t>
      </w:r>
    </w:p>
    <w:p>
      <w:pPr>
        <w:spacing w:after="120" w:line="276" w:lineRule="auto"/>
      </w:pPr>
      <w:r>
        <w:rPr>
          <w:rFonts w:ascii="Arial" w:hAnsi="Arial"/>
          <w:b w:val="0"/>
          <w:i w:val="0"/>
          <w:color w:val="000000"/>
          <w:sz w:val="22"/>
        </w:rPr>
        <w:t>First, the plan now has 17–19 weeks of elapsed engineering before MVP with a UAT-credible AI evaluation harness. This is a real number and must be communicated to the client and SOW. The BRD §2.4 named '16 weeks MVP, 28 weeks v1' — those numbers were established before this plan absorbed the FR-128, FR-129, FR-155, BRD §1.5, BRD §4.0, BRD §12.7 commitments that v3.0 added. The honest path forward is to treat the 17–19 week estimate as the plan-of-record and to revise the SOW timeline if necessary. Allowing the original 16-week MVP figure to anchor expectations while shipping a 17–19 week plan is the single most likely failure mode of the engagement.</w:t>
      </w:r>
    </w:p>
    <w:p>
      <w:pPr>
        <w:spacing w:after="120" w:line="276" w:lineRule="auto"/>
      </w:pPr>
      <w:r>
        <w:rPr>
          <w:rFonts w:ascii="Arial" w:hAnsi="Arial"/>
          <w:b w:val="0"/>
          <w:i w:val="0"/>
          <w:color w:val="000000"/>
          <w:sz w:val="22"/>
        </w:rPr>
        <w:t>Second, the plan as synthesised has acceptance criteria and phase exit gates but has no explicit re-evaluation trigger — no condition under which the plan itself, not just a phase, is reconsidered. BRD §12.6 names watch-metrics and re-evaluation triggers explicitly. The remediation plan should inherit at least three: (i) Phase 1 vertical slice not demonstrable end-to-end by week 5 of engineering effort (which would indicate the slice scope was misjudged); (ii) classifier benchmark accuracy on a labelled sample failing to exceed 70% top-1 by Phase 5 entrance (which would indicate the classifier-architecture choice is wrong, not just untuned, and would force a return to FR-128 OFF mode as the operating posture); (iii) any failure of the BRD §12.2 West-India pilot go/no-go gate.</w:t>
      </w:r>
    </w:p>
    <w:p>
      <w:pPr>
        <w:keepNext/>
        <w:spacing w:before="160" w:after="40"/>
      </w:pPr>
      <w:r>
        <w:rPr>
          <w:rFonts w:ascii="Arial" w:hAnsi="Arial"/>
          <w:b/>
          <w:color w:val="2E75B6"/>
          <w:sz w:val="22"/>
        </w:rPr>
        <w:t>Judge</w:t>
      </w:r>
    </w:p>
    <w:p>
      <w:pPr>
        <w:spacing w:after="120" w:line="276" w:lineRule="auto"/>
      </w:pPr>
      <w:r>
        <w:rPr>
          <w:rFonts w:ascii="Arial" w:hAnsi="Arial"/>
          <w:b w:val="0"/>
          <w:i w:val="0"/>
          <w:color w:val="000000"/>
          <w:sz w:val="22"/>
        </w:rPr>
        <w:t>Both stress tests are valid. By Round 5 I expect Proponent to absorb the re-evaluation triggers and to acknowledge the calendar honestly. If those land, the plan is ready for final argument.</w:t>
      </w:r>
    </w:p>
    <w:p>
      <w:pPr>
        <w:pStyle w:val="Heading2"/>
        <w:keepNext/>
        <w:spacing w:before="280" w:after="120"/>
      </w:pPr>
      <w:r>
        <w:rPr>
          <w:rFonts w:ascii="Arial" w:hAnsi="Arial"/>
          <w:b/>
          <w:color w:val="1B3A5C"/>
          <w:sz w:val="28"/>
        </w:rPr>
        <w:t>Round 5 — Final Arguments</w:t>
      </w:r>
    </w:p>
    <w:p>
      <w:pPr>
        <w:keepNext/>
        <w:spacing w:before="160" w:after="40"/>
      </w:pPr>
      <w:r>
        <w:rPr>
          <w:rFonts w:ascii="Arial" w:hAnsi="Arial"/>
          <w:b/>
          <w:color w:val="2E75B6"/>
          <w:sz w:val="22"/>
        </w:rPr>
        <w:t>Proponent</w:t>
      </w:r>
    </w:p>
    <w:p>
      <w:pPr>
        <w:spacing w:after="120" w:line="276" w:lineRule="auto"/>
      </w:pPr>
      <w:r>
        <w:rPr>
          <w:rFonts w:ascii="Arial" w:hAnsi="Arial"/>
          <w:b w:val="0"/>
          <w:i w:val="0"/>
          <w:color w:val="000000"/>
          <w:sz w:val="22"/>
        </w:rPr>
        <w:t>Both stress tests absorbed. Final position. The remediation plan, as modified through this debate, is a credible BRD-traceable engineering blueprint for moving Project Atlas from prototype scaffold to UAT-credible MVP. Its central decision — narrow to one real vertical slice — is the right one. Five named modifications strengthen it: (1) insert Phase 0.5 (Pre-MVP-Lite Cleanup) covering master-data canonicalisation, synthetic-corpus generation, and third-party auditor pre-selection; (2) pull the Human Accountability banner, FR-016 master-backed validation, LLM_ENABLED toggle/banner, and Vitest smoke tests into Phase 1; (3) add the collateral-intelligence schema columns, FR-016 disambiguation modal, and SLA scheduler to Phase 2; (4) extend Phase 3 to 4 weeks and ship Graph + Gmail in parallel from Phase 4 day one; (5) revise the elapsed-calendar expectation to 17–19 weeks to MVP-with-AI-evaluation, communicated to the client and reflected in the SOW.</w:t>
      </w:r>
    </w:p>
    <w:p>
      <w:pPr>
        <w:spacing w:after="120" w:line="276" w:lineRule="auto"/>
      </w:pPr>
      <w:r>
        <w:rPr>
          <w:rFonts w:ascii="Arial" w:hAnsi="Arial"/>
          <w:b w:val="0"/>
          <w:i w:val="0"/>
          <w:color w:val="000000"/>
          <w:sz w:val="22"/>
        </w:rPr>
        <w:t>Three explicit re-evaluation triggers are added: (i) Phase 1 not demonstrable end-to-end by week 5; (ii) classifier benchmark &lt;70% top-1 by Phase 5 entrance; (iii) West-India pilot go/no-go gate failure. Hitting any of these triggers a structured plan review, not a continuation. The plan is now defensible against BRD §12.6 as well as against a credible engineering reviewer.</w:t>
      </w:r>
    </w:p>
    <w:p>
      <w:pPr>
        <w:spacing w:after="120" w:line="276" w:lineRule="auto"/>
      </w:pPr>
      <w:r>
        <w:rPr>
          <w:rFonts w:ascii="Arial" w:hAnsi="Arial"/>
          <w:b w:val="0"/>
          <w:i w:val="0"/>
          <w:color w:val="000000"/>
          <w:sz w:val="22"/>
        </w:rPr>
        <w:t>What survives unchanged from the original plan: the twelve gap diagnoses, the severity assignments, the acceptance criteria per gap, the P0/P1/P2/P3 backlog ordering, the requirement traceability matrix structure, the recognition that frontend localStorage tokens are blocking, the recognition that pnpm test must be a meaningful gate, the Maildev-before-Graph sequencing, the recommendation to remove random jitter from the deterministic classifier path, and the recommendation to use packages/benchmark as the formal AI evaluation harness.</w:t>
      </w:r>
    </w:p>
    <w:p>
      <w:pPr>
        <w:keepNext/>
        <w:spacing w:before="160" w:after="40"/>
      </w:pPr>
      <w:r>
        <w:rPr>
          <w:rFonts w:ascii="Arial" w:hAnsi="Arial"/>
          <w:b/>
          <w:color w:val="2E75B6"/>
          <w:sz w:val="22"/>
        </w:rPr>
        <w:t>Opponent</w:t>
      </w:r>
    </w:p>
    <w:p>
      <w:pPr>
        <w:spacing w:after="120" w:line="276" w:lineRule="auto"/>
      </w:pPr>
      <w:r>
        <w:rPr>
          <w:rFonts w:ascii="Arial" w:hAnsi="Arial"/>
          <w:b w:val="0"/>
          <w:i w:val="0"/>
          <w:color w:val="000000"/>
          <w:sz w:val="22"/>
        </w:rPr>
        <w:t>Final position. The plan as modified is the right plan. The remaining vulnerabilities are not engineering vulnerabilities; they are execution-environment vulnerabilities that the plan itself cannot control. They should be named so that they are visible and so that early-warning signals are watched.</w:t>
      </w:r>
    </w:p>
    <w:p>
      <w:pPr>
        <w:spacing w:after="120" w:line="276" w:lineRule="auto"/>
      </w:pPr>
      <w:r>
        <w:rPr>
          <w:rFonts w:ascii="Arial" w:hAnsi="Arial"/>
          <w:b w:val="0"/>
          <w:i w:val="0"/>
          <w:color w:val="000000"/>
          <w:sz w:val="22"/>
        </w:rPr>
        <w:t>Vulnerability one: the Phase 0.5 master-data cleanup depends on a client-side LMS master-data steward at 50% time for four weeks. If that staffing slips by even two weeks, Phase 2's master-backed routing work cannot start, and the engagement loses its critical path. The plan's contingency should be that, on day one of Phase 0.5, ADS-Softek raises a named risk to the steering committee and asks for explicit client commitment with backup steward identified.</w:t>
      </w:r>
    </w:p>
    <w:p>
      <w:pPr>
        <w:spacing w:after="120" w:line="276" w:lineRule="auto"/>
      </w:pPr>
      <w:r>
        <w:rPr>
          <w:rFonts w:ascii="Arial" w:hAnsi="Arial"/>
          <w:b w:val="0"/>
          <w:i w:val="0"/>
          <w:color w:val="000000"/>
          <w:sz w:val="22"/>
        </w:rPr>
        <w:t>Vulnerability two: the calibrated accuracy curve in BRD §1.6 (85% month 3 / 92% month 6 / 95% month 12) is achievable for a Llama-class self-hosted model with strong prompt iteration and a real labelled corpus. It is not achievable for a keyword-based prototype classifier or for a small distilled model trained on synthetic data alone. The plan now has the architectural commitments (FR-128 OFF mode, FR-129 synthetic corpus, benchmark harness) but does not yet have the explicit decision: which model class is the production classifier? Self-hosted Llama? Azure OpenAI India tenant? AWS Bedrock India? This decision is gating for Phase 5's accuracy validation and should be named as a Phase 2 architecture decision with sign-off from MLOps and Compliance per FR-130.</w:t>
      </w:r>
    </w:p>
    <w:p>
      <w:pPr>
        <w:spacing w:after="120" w:line="276" w:lineRule="auto"/>
      </w:pPr>
      <w:r>
        <w:rPr>
          <w:rFonts w:ascii="Arial" w:hAnsi="Arial"/>
          <w:b w:val="0"/>
          <w:i w:val="0"/>
          <w:color w:val="000000"/>
          <w:sz w:val="22"/>
        </w:rPr>
        <w:t>Vulnerability three: the West-India pilot gate in BRD §12.2 is a client-led decision, not an engineering deliverable. Pre-selecting the third-party AI auditor in Phase 0.5 is correct, but the auditor's actual engagement in month 12 depends on contract execution that has not been initiated. The plan should name this as a contract dependency and surface it to the client steering committee at Phase 0.5 closure.</w:t>
      </w:r>
    </w:p>
    <w:p>
      <w:pPr>
        <w:keepNext/>
        <w:spacing w:before="160" w:after="40"/>
      </w:pPr>
      <w:r>
        <w:rPr>
          <w:rFonts w:ascii="Arial" w:hAnsi="Arial"/>
          <w:b/>
          <w:color w:val="2E75B6"/>
          <w:sz w:val="22"/>
        </w:rPr>
        <w:t>Judge</w:t>
      </w:r>
    </w:p>
    <w:p>
      <w:pPr>
        <w:spacing w:after="120" w:line="276" w:lineRule="auto"/>
      </w:pPr>
      <w:r>
        <w:rPr>
          <w:rFonts w:ascii="Arial" w:hAnsi="Arial"/>
          <w:b w:val="0"/>
          <w:i w:val="0"/>
          <w:color w:val="000000"/>
          <w:sz w:val="22"/>
        </w:rPr>
        <w:t>Final assessment. The plan, as modified through this five-round debate, is recommended for adoption. The modifications are not new scope; they are reorderings and pull-forwards of obligations the BRD v3.0 has already absorbed, plus an honest restatement of the elapsed calendar.</w:t>
      </w:r>
    </w:p>
    <w:p>
      <w:pPr>
        <w:spacing w:after="120" w:line="276" w:lineRule="auto"/>
      </w:pPr>
      <w:r>
        <w:rPr>
          <w:rFonts w:ascii="Arial" w:hAnsi="Arial"/>
          <w:b w:val="0"/>
          <w:i w:val="0"/>
          <w:color w:val="000000"/>
          <w:sz w:val="22"/>
        </w:rPr>
        <w:t>The plan's headline strength is unchanged: build one real vertical slice. The plan's headline weakness, before this debate, was that it optimised for engineering tractability without naming the BRD §1.5, §1.6, §4.0, §12.6, §12.7, FR-016, FR-128, FR-129, and FR-155 obligations as Phase-1-or-Phase-0.5 commitments. After this debate those obligations are named, calendared, and gated.</w:t>
      </w:r>
    </w:p>
    <w:p>
      <w:pPr>
        <w:spacing w:after="120" w:line="276" w:lineRule="auto"/>
      </w:pPr>
      <w:r>
        <w:rPr>
          <w:rFonts w:ascii="Arial" w:hAnsi="Arial"/>
          <w:b w:val="0"/>
          <w:i w:val="0"/>
          <w:color w:val="000000"/>
          <w:sz w:val="22"/>
        </w:rPr>
        <w:t>The plan should now be reissued as a v1.1 of the gap remediation plan, with the modifications applied. The Phase 0.5 should be explicit. The 17–19 week elapsed calendar should be communicated to the client. The three re-evaluation triggers should be added to the Section 8 Risks table. The five Vulnerabilities-One-Through-Three from Opponent's final position should be added to the Risk Register in this evaluation document.</w:t>
      </w:r>
    </w:p>
    <w:p>
      <w:pPr>
        <w:spacing w:after="120" w:line="276" w:lineRule="auto"/>
      </w:pPr>
      <w:r>
        <w:rPr>
          <w:rFonts w:ascii="Arial" w:hAnsi="Arial"/>
          <w:b w:val="0"/>
          <w:i w:val="0"/>
          <w:color w:val="000000"/>
          <w:sz w:val="22"/>
        </w:rPr>
        <w:t>Recommendation: PROCEED with the plan as modified. Phase 0 and Phase 0.5 may begin immediately. Phase 2 and beyond are gated on Phase 0.5 completion. The first checkpoint — week 5, 'is the Phase 1 vertical slice end-to-end demonstrable?' — is the most consequential single milestone in the engagement; it is the moment at which we either confirm the plan or trigger the first re-evaluation.</w:t>
      </w:r>
    </w:p>
    <w:p>
      <w:r>
        <w:br w:type="page"/>
      </w:r>
    </w:p>
    <w:p>
      <w:pPr>
        <w:pStyle w:val="Heading1"/>
        <w:keepNext/>
        <w:spacing w:before="280" w:after="120"/>
      </w:pPr>
      <w:r>
        <w:rPr>
          <w:rFonts w:ascii="Arial" w:hAnsi="Arial"/>
          <w:b/>
          <w:color w:val="1B3A5C"/>
          <w:sz w:val="36"/>
        </w:rPr>
        <w:t>4. Idea Evolution Tracker</w:t>
      </w:r>
    </w:p>
    <w:p>
      <w:pPr>
        <w:spacing w:after="120" w:line="276" w:lineRule="auto"/>
      </w:pPr>
      <w:r>
        <w:rPr>
          <w:rFonts w:ascii="Arial" w:hAnsi="Arial"/>
          <w:b w:val="0"/>
          <w:i w:val="0"/>
          <w:color w:val="000000"/>
          <w:sz w:val="22"/>
        </w:rPr>
        <w:t>How the plan changed across the five rounds. Each row is a substantive modification, not a clarification.</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1B3A5C"/>
            <w:vAlign w:val="center"/>
          </w:tcPr>
          <w:p>
            <w:r/>
            <w:r>
              <w:rPr>
                <w:rFonts w:ascii="Arial" w:hAnsi="Arial"/>
                <w:b/>
                <w:color w:val="FFFFFF"/>
                <w:sz w:val="20"/>
              </w:rPr>
              <w:t>Item</w:t>
            </w:r>
          </w:p>
        </w:tc>
        <w:tc>
          <w:tcPr>
            <w:tcW w:type="dxa" w:w="2160"/>
            <w:shd w:val="clear" w:color="auto" w:fill="1B3A5C"/>
            <w:vAlign w:val="center"/>
          </w:tcPr>
          <w:p>
            <w:r/>
            <w:r>
              <w:rPr>
                <w:rFonts w:ascii="Arial" w:hAnsi="Arial"/>
                <w:b/>
                <w:color w:val="FFFFFF"/>
                <w:sz w:val="20"/>
              </w:rPr>
              <w:t>Original Plan Position</w:t>
            </w:r>
          </w:p>
        </w:tc>
        <w:tc>
          <w:tcPr>
            <w:tcW w:type="dxa" w:w="2880"/>
            <w:shd w:val="clear" w:color="auto" w:fill="1B3A5C"/>
            <w:vAlign w:val="center"/>
          </w:tcPr>
          <w:p>
            <w:r/>
            <w:r>
              <w:rPr>
                <w:rFonts w:ascii="Arial" w:hAnsi="Arial"/>
                <w:b/>
                <w:color w:val="FFFFFF"/>
                <w:sz w:val="20"/>
              </w:rPr>
              <w:t>After Debate</w:t>
            </w:r>
          </w:p>
        </w:tc>
        <w:tc>
          <w:tcPr>
            <w:tcW w:type="dxa" w:w="1008"/>
            <w:shd w:val="clear" w:color="auto" w:fill="1B3A5C"/>
            <w:vAlign w:val="center"/>
          </w:tcPr>
          <w:p>
            <w:r/>
            <w:r>
              <w:rPr>
                <w:rFonts w:ascii="Arial" w:hAnsi="Arial"/>
                <w:b/>
                <w:color w:val="FFFFFF"/>
                <w:sz w:val="20"/>
              </w:rPr>
              <w:t>Round</w:t>
            </w:r>
          </w:p>
        </w:tc>
        <w:tc>
          <w:tcPr>
            <w:tcW w:type="dxa" w:w="2160"/>
            <w:shd w:val="clear" w:color="auto" w:fill="1B3A5C"/>
            <w:vAlign w:val="center"/>
          </w:tcPr>
          <w:p>
            <w:r/>
            <w:r>
              <w:rPr>
                <w:rFonts w:ascii="Arial" w:hAnsi="Arial"/>
                <w:b/>
                <w:color w:val="FFFFFF"/>
                <w:sz w:val="20"/>
              </w:rPr>
              <w:t>Reason</w:t>
            </w:r>
          </w:p>
        </w:tc>
      </w:tr>
      <w:tr>
        <w:tc>
          <w:tcPr>
            <w:tcW w:type="dxa" w:w="1728"/>
            <w:vAlign w:val="top"/>
          </w:tcPr>
          <w:p>
            <w:r/>
            <w:r>
              <w:rPr>
                <w:rFonts w:ascii="Arial" w:hAnsi="Arial"/>
                <w:sz w:val="20"/>
              </w:rPr>
              <w:t>Phase 1 calendar</w:t>
            </w:r>
          </w:p>
        </w:tc>
        <w:tc>
          <w:tcPr>
            <w:tcW w:type="dxa" w:w="2160"/>
            <w:vAlign w:val="top"/>
          </w:tcPr>
          <w:p>
            <w:r/>
            <w:r>
              <w:rPr>
                <w:rFonts w:ascii="Arial" w:hAnsi="Arial"/>
                <w:sz w:val="20"/>
              </w:rPr>
              <w:t>1–2 weeks (plan as drafted)</w:t>
            </w:r>
          </w:p>
        </w:tc>
        <w:tc>
          <w:tcPr>
            <w:tcW w:type="dxa" w:w="2880"/>
            <w:vAlign w:val="top"/>
          </w:tcPr>
          <w:p>
            <w:r/>
            <w:r>
              <w:rPr>
                <w:rFonts w:ascii="Arial" w:hAnsi="Arial"/>
                <w:sz w:val="20"/>
              </w:rPr>
              <w:t>3 weeks (named deliverables, RBAC guards, integration tests, mock removal)</w:t>
            </w:r>
          </w:p>
        </w:tc>
        <w:tc>
          <w:tcPr>
            <w:tcW w:type="dxa" w:w="1008"/>
            <w:vAlign w:val="top"/>
          </w:tcPr>
          <w:p>
            <w:r/>
            <w:r>
              <w:rPr>
                <w:rFonts w:ascii="Arial" w:hAnsi="Arial"/>
                <w:sz w:val="20"/>
              </w:rPr>
              <w:t>Round 1–2</w:t>
            </w:r>
          </w:p>
        </w:tc>
        <w:tc>
          <w:tcPr>
            <w:tcW w:type="dxa" w:w="2160"/>
            <w:vAlign w:val="top"/>
          </w:tcPr>
          <w:p>
            <w:r/>
            <w:r>
              <w:rPr>
                <w:rFonts w:ascii="Arial" w:hAnsi="Arial"/>
                <w:sz w:val="20"/>
              </w:rPr>
              <w:t>Opponent: ADS-Softek pace on regulated-finance work makes 1–2 weeks unrealistic. Proponent accepted with revised velocity model.</w:t>
            </w:r>
          </w:p>
        </w:tc>
      </w:tr>
      <w:tr>
        <w:tc>
          <w:tcPr>
            <w:tcW w:type="dxa" w:w="1728"/>
            <w:shd w:val="clear" w:color="auto" w:fill="EDEDED"/>
            <w:vAlign w:val="top"/>
          </w:tcPr>
          <w:p>
            <w:r/>
            <w:r>
              <w:rPr>
                <w:rFonts w:ascii="Arial" w:hAnsi="Arial"/>
                <w:sz w:val="20"/>
              </w:rPr>
              <w:t>Human Accountability banner (BRD §1.5)</w:t>
            </w:r>
          </w:p>
        </w:tc>
        <w:tc>
          <w:tcPr>
            <w:tcW w:type="dxa" w:w="2160"/>
            <w:shd w:val="clear" w:color="auto" w:fill="EDEDED"/>
            <w:vAlign w:val="top"/>
          </w:tcPr>
          <w:p>
            <w:r/>
            <w:r>
              <w:rPr>
                <w:rFonts w:ascii="Arial" w:hAnsi="Arial"/>
                <w:sz w:val="20"/>
              </w:rPr>
              <w:t>Phase 2 (UI improvements)</w:t>
            </w:r>
          </w:p>
        </w:tc>
        <w:tc>
          <w:tcPr>
            <w:tcW w:type="dxa" w:w="2880"/>
            <w:shd w:val="clear" w:color="auto" w:fill="EDEDED"/>
            <w:vAlign w:val="top"/>
          </w:tcPr>
          <w:p>
            <w:r/>
            <w:r>
              <w:rPr>
                <w:rFonts w:ascii="Arial" w:hAnsi="Arial"/>
                <w:sz w:val="20"/>
              </w:rPr>
              <w:t>Phase 1 (banner, audit-log officer-id, ai_confidence at every state transition)</w:t>
            </w:r>
          </w:p>
        </w:tc>
        <w:tc>
          <w:tcPr>
            <w:tcW w:type="dxa" w:w="1008"/>
            <w:shd w:val="clear" w:color="auto" w:fill="EDEDED"/>
            <w:vAlign w:val="top"/>
          </w:tcPr>
          <w:p>
            <w:r/>
            <w:r>
              <w:rPr>
                <w:rFonts w:ascii="Arial" w:hAnsi="Arial"/>
                <w:sz w:val="20"/>
              </w:rPr>
              <w:t>Round 2</w:t>
            </w:r>
          </w:p>
        </w:tc>
        <w:tc>
          <w:tcPr>
            <w:tcW w:type="dxa" w:w="2160"/>
            <w:shd w:val="clear" w:color="auto" w:fill="EDEDED"/>
            <w:vAlign w:val="top"/>
          </w:tcPr>
          <w:p>
            <w:r/>
            <w:r>
              <w:rPr>
                <w:rFonts w:ascii="Arial" w:hAnsi="Arial"/>
                <w:sz w:val="20"/>
              </w:rPr>
              <w:t>Banner is foundational per BRD §1.5; deferring it corrupts the audit hash chain because state transitions need accountable_officer_id from the start.</w:t>
            </w:r>
          </w:p>
        </w:tc>
      </w:tr>
      <w:tr>
        <w:tc>
          <w:tcPr>
            <w:tcW w:type="dxa" w:w="1728"/>
            <w:vAlign w:val="top"/>
          </w:tcPr>
          <w:p>
            <w:r/>
            <w:r>
              <w:rPr>
                <w:rFonts w:ascii="Arial" w:hAnsi="Arial"/>
                <w:sz w:val="20"/>
              </w:rPr>
              <w:t>Master-data cleanup (BRD §4.0)</w:t>
            </w:r>
          </w:p>
        </w:tc>
        <w:tc>
          <w:tcPr>
            <w:tcW w:type="dxa" w:w="2160"/>
            <w:vAlign w:val="top"/>
          </w:tcPr>
          <w:p>
            <w:r/>
            <w:r>
              <w:rPr>
                <w:rFonts w:ascii="Arial" w:hAnsi="Arial"/>
                <w:sz w:val="20"/>
              </w:rPr>
              <w:t>Not named in plan</w:t>
            </w:r>
          </w:p>
        </w:tc>
        <w:tc>
          <w:tcPr>
            <w:tcW w:type="dxa" w:w="2880"/>
            <w:vAlign w:val="top"/>
          </w:tcPr>
          <w:p>
            <w:r/>
            <w:r>
              <w:rPr>
                <w:rFonts w:ascii="Arial" w:hAnsi="Arial"/>
                <w:sz w:val="20"/>
              </w:rPr>
              <w:t>Phase 0.5 (4 weeks elapsed, gates Phase 2, depends on client-side LMS steward)</w:t>
            </w:r>
          </w:p>
        </w:tc>
        <w:tc>
          <w:tcPr>
            <w:tcW w:type="dxa" w:w="1008"/>
            <w:vAlign w:val="top"/>
          </w:tcPr>
          <w:p>
            <w:r/>
            <w:r>
              <w:rPr>
                <w:rFonts w:ascii="Arial" w:hAnsi="Arial"/>
                <w:sz w:val="20"/>
              </w:rPr>
              <w:t>Round 1–2</w:t>
            </w:r>
          </w:p>
        </w:tc>
        <w:tc>
          <w:tcPr>
            <w:tcW w:type="dxa" w:w="2160"/>
            <w:vAlign w:val="top"/>
          </w:tcPr>
          <w:p>
            <w:r/>
            <w:r>
              <w:rPr>
                <w:rFonts w:ascii="Arial" w:hAnsi="Arial"/>
                <w:sz w:val="20"/>
              </w:rPr>
              <w:t>BRD §4.0 makes cleanup gating, not parallel. Without canonical_form / source_forms, FR-016 fails on real client data.</w:t>
            </w:r>
          </w:p>
        </w:tc>
      </w:tr>
      <w:tr>
        <w:tc>
          <w:tcPr>
            <w:tcW w:type="dxa" w:w="1728"/>
            <w:shd w:val="clear" w:color="auto" w:fill="EDEDED"/>
            <w:vAlign w:val="top"/>
          </w:tcPr>
          <w:p>
            <w:r/>
            <w:r>
              <w:rPr>
                <w:rFonts w:ascii="Arial" w:hAnsi="Arial"/>
                <w:sz w:val="20"/>
              </w:rPr>
              <w:t>Phase 3 calendar</w:t>
            </w:r>
          </w:p>
        </w:tc>
        <w:tc>
          <w:tcPr>
            <w:tcW w:type="dxa" w:w="2160"/>
            <w:shd w:val="clear" w:color="auto" w:fill="EDEDED"/>
            <w:vAlign w:val="top"/>
          </w:tcPr>
          <w:p>
            <w:r/>
            <w:r>
              <w:rPr>
                <w:rFonts w:ascii="Arial" w:hAnsi="Arial"/>
                <w:sz w:val="20"/>
              </w:rPr>
              <w:t>1–2 weeks</w:t>
            </w:r>
          </w:p>
        </w:tc>
        <w:tc>
          <w:tcPr>
            <w:tcW w:type="dxa" w:w="2880"/>
            <w:shd w:val="clear" w:color="auto" w:fill="EDEDED"/>
            <w:vAlign w:val="top"/>
          </w:tcPr>
          <w:p>
            <w:r/>
            <w:r>
              <w:rPr>
                <w:rFonts w:ascii="Arial" w:hAnsi="Arial"/>
                <w:sz w:val="20"/>
              </w:rPr>
              <w:t>4 weeks (OIDC + BFF + ABAC + MFA all named)</w:t>
            </w:r>
          </w:p>
        </w:tc>
        <w:tc>
          <w:tcPr>
            <w:tcW w:type="dxa" w:w="1008"/>
            <w:shd w:val="clear" w:color="auto" w:fill="EDEDED"/>
            <w:vAlign w:val="top"/>
          </w:tcPr>
          <w:p>
            <w:r/>
            <w:r>
              <w:rPr>
                <w:rFonts w:ascii="Arial" w:hAnsi="Arial"/>
                <w:sz w:val="20"/>
              </w:rPr>
              <w:t>Round 2–3</w:t>
            </w:r>
          </w:p>
        </w:tc>
        <w:tc>
          <w:tcPr>
            <w:tcW w:type="dxa" w:w="2160"/>
            <w:shd w:val="clear" w:color="auto" w:fill="EDEDED"/>
            <w:vAlign w:val="top"/>
          </w:tcPr>
          <w:p>
            <w:r/>
            <w:r>
              <w:rPr>
                <w:rFonts w:ascii="Arial" w:hAnsi="Arial"/>
                <w:sz w:val="20"/>
              </w:rPr>
              <w:t>OIDC integration with client IdP alone is 2 weeks; BFF pattern is another 1–2; ABAC region filtering with tests is 1 week minimum.</w:t>
            </w:r>
          </w:p>
        </w:tc>
      </w:tr>
      <w:tr>
        <w:tc>
          <w:tcPr>
            <w:tcW w:type="dxa" w:w="1728"/>
            <w:vAlign w:val="top"/>
          </w:tcPr>
          <w:p>
            <w:r/>
            <w:r>
              <w:rPr>
                <w:rFonts w:ascii="Arial" w:hAnsi="Arial"/>
                <w:sz w:val="20"/>
              </w:rPr>
              <w:t>FR-128 LLM-Off Operational Mode</w:t>
            </w:r>
          </w:p>
        </w:tc>
        <w:tc>
          <w:tcPr>
            <w:tcW w:type="dxa" w:w="2160"/>
            <w:vAlign w:val="top"/>
          </w:tcPr>
          <w:p>
            <w:r/>
            <w:r>
              <w:rPr>
                <w:rFonts w:ascii="Arial" w:hAnsi="Arial"/>
                <w:sz w:val="20"/>
              </w:rPr>
              <w:t>Not named in plan</w:t>
            </w:r>
          </w:p>
        </w:tc>
        <w:tc>
          <w:tcPr>
            <w:tcW w:type="dxa" w:w="2880"/>
            <w:vAlign w:val="top"/>
          </w:tcPr>
          <w:p>
            <w:r/>
            <w:r>
              <w:rPr>
                <w:rFonts w:ascii="Arial" w:hAnsi="Arial"/>
                <w:sz w:val="20"/>
              </w:rPr>
              <w:t>Phase 1 (toggle, threshold change, mode banner); Phase 5 (distilled-classifier tuning, NER fallback, outbound footer, drill playbook)</w:t>
            </w:r>
          </w:p>
        </w:tc>
        <w:tc>
          <w:tcPr>
            <w:tcW w:type="dxa" w:w="1008"/>
            <w:vAlign w:val="top"/>
          </w:tcPr>
          <w:p>
            <w:r/>
            <w:r>
              <w:rPr>
                <w:rFonts w:ascii="Arial" w:hAnsi="Arial"/>
                <w:sz w:val="20"/>
              </w:rPr>
              <w:t>Round 2–3</w:t>
            </w:r>
          </w:p>
        </w:tc>
        <w:tc>
          <w:tcPr>
            <w:tcW w:type="dxa" w:w="2160"/>
            <w:vAlign w:val="top"/>
          </w:tcPr>
          <w:p>
            <w:r/>
            <w:r>
              <w:rPr>
                <w:rFonts w:ascii="Arial" w:hAnsi="Arial"/>
                <w:sz w:val="20"/>
              </w:rPr>
              <w:t>FR-128 is an architecture commitment, not a benchmark commitment. Threshold change to 0.85 in OFF mode and visible mode banner are Phase 1 affordances.</w:t>
            </w:r>
          </w:p>
        </w:tc>
      </w:tr>
      <w:tr>
        <w:tc>
          <w:tcPr>
            <w:tcW w:type="dxa" w:w="1728"/>
            <w:shd w:val="clear" w:color="auto" w:fill="EDEDED"/>
            <w:vAlign w:val="top"/>
          </w:tcPr>
          <w:p>
            <w:r/>
            <w:r>
              <w:rPr>
                <w:rFonts w:ascii="Arial" w:hAnsi="Arial"/>
                <w:sz w:val="20"/>
              </w:rPr>
              <w:t>Collateral-intelligence schema (Gap 12)</w:t>
            </w:r>
          </w:p>
        </w:tc>
        <w:tc>
          <w:tcPr>
            <w:tcW w:type="dxa" w:w="2160"/>
            <w:shd w:val="clear" w:color="auto" w:fill="EDEDED"/>
            <w:vAlign w:val="top"/>
          </w:tcPr>
          <w:p>
            <w:r/>
            <w:r>
              <w:rPr>
                <w:rFonts w:ascii="Arial" w:hAnsi="Arial"/>
                <w:sz w:val="20"/>
              </w:rPr>
              <w:t>v1.0+ work</w:t>
            </w:r>
          </w:p>
        </w:tc>
        <w:tc>
          <w:tcPr>
            <w:tcW w:type="dxa" w:w="2880"/>
            <w:shd w:val="clear" w:color="auto" w:fill="EDEDED"/>
            <w:vAlign w:val="top"/>
          </w:tcPr>
          <w:p>
            <w:r/>
            <w:r>
              <w:rPr>
                <w:rFonts w:ascii="Arial" w:hAnsi="Arial"/>
                <w:sz w:val="20"/>
              </w:rPr>
              <w:t>Phase 2 schema additions (nullable, no UI); Phase 6 surfaces them</w:t>
            </w:r>
          </w:p>
        </w:tc>
        <w:tc>
          <w:tcPr>
            <w:tcW w:type="dxa" w:w="1008"/>
            <w:shd w:val="clear" w:color="auto" w:fill="EDEDED"/>
            <w:vAlign w:val="top"/>
          </w:tcPr>
          <w:p>
            <w:r/>
            <w:r>
              <w:rPr>
                <w:rFonts w:ascii="Arial" w:hAnsi="Arial"/>
                <w:sz w:val="20"/>
              </w:rPr>
              <w:t>Round 2–3</w:t>
            </w:r>
          </w:p>
        </w:tc>
        <w:tc>
          <w:tcPr>
            <w:tcW w:type="dxa" w:w="2160"/>
            <w:shd w:val="clear" w:color="auto" w:fill="EDEDED"/>
            <w:vAlign w:val="top"/>
          </w:tcPr>
          <w:p>
            <w:r/>
            <w:r>
              <w:rPr>
                <w:rFonts w:ascii="Arial" w:hAnsi="Arial"/>
                <w:sz w:val="20"/>
              </w:rPr>
              <w:t>Schema migrations after MVP-Lite cost 4–6× pre-MVP-Lite migrations because production-like data has begun to land.</w:t>
            </w:r>
          </w:p>
        </w:tc>
      </w:tr>
      <w:tr>
        <w:tc>
          <w:tcPr>
            <w:tcW w:type="dxa" w:w="1728"/>
            <w:vAlign w:val="top"/>
          </w:tcPr>
          <w:p>
            <w:r/>
            <w:r>
              <w:rPr>
                <w:rFonts w:ascii="Arial" w:hAnsi="Arial"/>
                <w:sz w:val="20"/>
              </w:rPr>
              <w:t>FR-129 Synthetic Corpus</w:t>
            </w:r>
          </w:p>
        </w:tc>
        <w:tc>
          <w:tcPr>
            <w:tcW w:type="dxa" w:w="2160"/>
            <w:vAlign w:val="top"/>
          </w:tcPr>
          <w:p>
            <w:r/>
            <w:r>
              <w:rPr>
                <w:rFonts w:ascii="Arial" w:hAnsi="Arial"/>
                <w:sz w:val="20"/>
              </w:rPr>
              <w:t>Not named in plan</w:t>
            </w:r>
          </w:p>
        </w:tc>
        <w:tc>
          <w:tcPr>
            <w:tcW w:type="dxa" w:w="2880"/>
            <w:vAlign w:val="top"/>
          </w:tcPr>
          <w:p>
            <w:r/>
            <w:r>
              <w:rPr>
                <w:rFonts w:ascii="Arial" w:hAnsi="Arial"/>
                <w:sz w:val="20"/>
              </w:rPr>
              <w:t>Phase 0.5 (signed, versioned, generated before any prompt iteration)</w:t>
            </w:r>
          </w:p>
        </w:tc>
        <w:tc>
          <w:tcPr>
            <w:tcW w:type="dxa" w:w="1008"/>
            <w:vAlign w:val="top"/>
          </w:tcPr>
          <w:p>
            <w:r/>
            <w:r>
              <w:rPr>
                <w:rFonts w:ascii="Arial" w:hAnsi="Arial"/>
                <w:sz w:val="20"/>
              </w:rPr>
              <w:t>Round 3</w:t>
            </w:r>
          </w:p>
        </w:tc>
        <w:tc>
          <w:tcPr>
            <w:tcW w:type="dxa" w:w="2160"/>
            <w:vAlign w:val="top"/>
          </w:tcPr>
          <w:p>
            <w:r/>
            <w:r>
              <w:rPr>
                <w:rFonts w:ascii="Arial" w:hAnsi="Arial"/>
                <w:sz w:val="20"/>
              </w:rPr>
              <w:t>DPDP-binding data-handling control. Dev/UAT must NEVER receive copies of production emails.</w:t>
            </w:r>
          </w:p>
        </w:tc>
      </w:tr>
      <w:tr>
        <w:tc>
          <w:tcPr>
            <w:tcW w:type="dxa" w:w="1728"/>
            <w:shd w:val="clear" w:color="auto" w:fill="EDEDED"/>
            <w:vAlign w:val="top"/>
          </w:tcPr>
          <w:p>
            <w:r/>
            <w:r>
              <w:rPr>
                <w:rFonts w:ascii="Arial" w:hAnsi="Arial"/>
                <w:sz w:val="20"/>
              </w:rPr>
              <w:t>FR-155 Secondary Mailbox</w:t>
            </w:r>
          </w:p>
        </w:tc>
        <w:tc>
          <w:tcPr>
            <w:tcW w:type="dxa" w:w="2160"/>
            <w:shd w:val="clear" w:color="auto" w:fill="EDEDED"/>
            <w:vAlign w:val="top"/>
          </w:tcPr>
          <w:p>
            <w:r/>
            <w:r>
              <w:rPr>
                <w:rFonts w:ascii="Arial" w:hAnsi="Arial"/>
                <w:sz w:val="20"/>
              </w:rPr>
              <w:t>Phase 4 sequenced (Graph first, Gmail later)</w:t>
            </w:r>
          </w:p>
        </w:tc>
        <w:tc>
          <w:tcPr>
            <w:tcW w:type="dxa" w:w="2880"/>
            <w:shd w:val="clear" w:color="auto" w:fill="EDEDED"/>
            <w:vAlign w:val="top"/>
          </w:tcPr>
          <w:p>
            <w:r/>
            <w:r>
              <w:rPr>
                <w:rFonts w:ascii="Arial" w:hAnsi="Arial"/>
                <w:sz w:val="20"/>
              </w:rPr>
              <w:t>Phase 4 parallel (Graph + Gmail together with Message-ID de-dup; outbound SMTP failover; quarterly drill)</w:t>
            </w:r>
          </w:p>
        </w:tc>
        <w:tc>
          <w:tcPr>
            <w:tcW w:type="dxa" w:w="1008"/>
            <w:shd w:val="clear" w:color="auto" w:fill="EDEDED"/>
            <w:vAlign w:val="top"/>
          </w:tcPr>
          <w:p>
            <w:r/>
            <w:r>
              <w:rPr>
                <w:rFonts w:ascii="Arial" w:hAnsi="Arial"/>
                <w:sz w:val="20"/>
              </w:rPr>
              <w:t>Round 3</w:t>
            </w:r>
          </w:p>
        </w:tc>
        <w:tc>
          <w:tcPr>
            <w:tcW w:type="dxa" w:w="2160"/>
            <w:shd w:val="clear" w:color="auto" w:fill="EDEDED"/>
            <w:vAlign w:val="top"/>
          </w:tcPr>
          <w:p>
            <w:r/>
            <w:r>
              <w:rPr>
                <w:rFonts w:ascii="Arial" w:hAnsi="Arial"/>
                <w:sz w:val="20"/>
              </w:rPr>
              <w:t>Sequenced approach establishes primary-provider lock-in and turns FR-155 into a v1.5 retrofit.</w:t>
            </w:r>
          </w:p>
        </w:tc>
      </w:tr>
      <w:tr>
        <w:tc>
          <w:tcPr>
            <w:tcW w:type="dxa" w:w="1728"/>
            <w:vAlign w:val="top"/>
          </w:tcPr>
          <w:p>
            <w:r/>
            <w:r>
              <w:rPr>
                <w:rFonts w:ascii="Arial" w:hAnsi="Arial"/>
                <w:sz w:val="20"/>
              </w:rPr>
              <w:t>FR-016 disambiguation modal</w:t>
            </w:r>
          </w:p>
        </w:tc>
        <w:tc>
          <w:tcPr>
            <w:tcW w:type="dxa" w:w="2160"/>
            <w:vAlign w:val="top"/>
          </w:tcPr>
          <w:p>
            <w:r/>
            <w:r>
              <w:rPr>
                <w:rFonts w:ascii="Arial" w:hAnsi="Arial"/>
                <w:sz w:val="20"/>
              </w:rPr>
              <w:t>Not specified</w:t>
            </w:r>
          </w:p>
        </w:tc>
        <w:tc>
          <w:tcPr>
            <w:tcW w:type="dxa" w:w="2880"/>
            <w:vAlign w:val="top"/>
          </w:tcPr>
          <w:p>
            <w:r/>
            <w:r>
              <w:rPr>
                <w:rFonts w:ascii="Arial" w:hAnsi="Arial"/>
                <w:sz w:val="20"/>
              </w:rPr>
              <w:t>Phase 2 design exercise to specify the fuzzy-match disambiguation UX</w:t>
            </w:r>
          </w:p>
        </w:tc>
        <w:tc>
          <w:tcPr>
            <w:tcW w:type="dxa" w:w="1008"/>
            <w:vAlign w:val="top"/>
          </w:tcPr>
          <w:p>
            <w:r/>
            <w:r>
              <w:rPr>
                <w:rFonts w:ascii="Arial" w:hAnsi="Arial"/>
                <w:sz w:val="20"/>
              </w:rPr>
              <w:t>Round 3</w:t>
            </w:r>
          </w:p>
        </w:tc>
        <w:tc>
          <w:tcPr>
            <w:tcW w:type="dxa" w:w="2160"/>
            <w:vAlign w:val="top"/>
          </w:tcPr>
          <w:p>
            <w:r/>
            <w:r>
              <w:rPr>
                <w:rFonts w:ascii="Arial" w:hAnsi="Arial"/>
                <w:sz w:val="20"/>
              </w:rPr>
              <w:t>High-leverage UX moment that determines officer trust in the system for the rest of the engagement.</w:t>
            </w:r>
          </w:p>
        </w:tc>
      </w:tr>
      <w:tr>
        <w:tc>
          <w:tcPr>
            <w:tcW w:type="dxa" w:w="1728"/>
            <w:shd w:val="clear" w:color="auto" w:fill="EDEDED"/>
            <w:vAlign w:val="top"/>
          </w:tcPr>
          <w:p>
            <w:r/>
            <w:r>
              <w:rPr>
                <w:rFonts w:ascii="Arial" w:hAnsi="Arial"/>
                <w:sz w:val="20"/>
              </w:rPr>
              <w:t>Total elapsed calendar to MVP</w:t>
            </w:r>
          </w:p>
        </w:tc>
        <w:tc>
          <w:tcPr>
            <w:tcW w:type="dxa" w:w="2160"/>
            <w:shd w:val="clear" w:color="auto" w:fill="EDEDED"/>
            <w:vAlign w:val="top"/>
          </w:tcPr>
          <w:p>
            <w:r/>
            <w:r>
              <w:rPr>
                <w:rFonts w:ascii="Arial" w:hAnsi="Arial"/>
                <w:sz w:val="20"/>
              </w:rPr>
              <w:t>Implied 8–11 weeks</w:t>
            </w:r>
          </w:p>
        </w:tc>
        <w:tc>
          <w:tcPr>
            <w:tcW w:type="dxa" w:w="2880"/>
            <w:shd w:val="clear" w:color="auto" w:fill="EDEDED"/>
            <w:vAlign w:val="top"/>
          </w:tcPr>
          <w:p>
            <w:r/>
            <w:r>
              <w:rPr>
                <w:rFonts w:ascii="Arial" w:hAnsi="Arial"/>
                <w:sz w:val="20"/>
              </w:rPr>
              <w:t>17–19 weeks (Phase 0+0.5 parallel = 4w; P1 = 3w; P2 = 2w; P3 = 4w; P4 = 4w; P5 = 2w initial)</w:t>
            </w:r>
          </w:p>
        </w:tc>
        <w:tc>
          <w:tcPr>
            <w:tcW w:type="dxa" w:w="1008"/>
            <w:shd w:val="clear" w:color="auto" w:fill="EDEDED"/>
            <w:vAlign w:val="top"/>
          </w:tcPr>
          <w:p>
            <w:r/>
            <w:r>
              <w:rPr>
                <w:rFonts w:ascii="Arial" w:hAnsi="Arial"/>
                <w:sz w:val="20"/>
              </w:rPr>
              <w:t>Round 4</w:t>
            </w:r>
          </w:p>
        </w:tc>
        <w:tc>
          <w:tcPr>
            <w:tcW w:type="dxa" w:w="2160"/>
            <w:shd w:val="clear" w:color="auto" w:fill="EDEDED"/>
            <w:vAlign w:val="top"/>
          </w:tcPr>
          <w:p>
            <w:r/>
            <w:r>
              <w:rPr>
                <w:rFonts w:ascii="Arial" w:hAnsi="Arial"/>
                <w:sz w:val="20"/>
              </w:rPr>
              <w:t>Honest restatement once BRD §1.5, §1.6, §4.0, FR-016, FR-128, FR-129, FR-155 are calendared.</w:t>
            </w:r>
          </w:p>
        </w:tc>
      </w:tr>
      <w:tr>
        <w:tc>
          <w:tcPr>
            <w:tcW w:type="dxa" w:w="1728"/>
            <w:vAlign w:val="top"/>
          </w:tcPr>
          <w:p>
            <w:r/>
            <w:r>
              <w:rPr>
                <w:rFonts w:ascii="Arial" w:hAnsi="Arial"/>
                <w:sz w:val="20"/>
              </w:rPr>
              <w:t>Re-evaluation triggers (BRD §12.6 inheritance)</w:t>
            </w:r>
          </w:p>
        </w:tc>
        <w:tc>
          <w:tcPr>
            <w:tcW w:type="dxa" w:w="2160"/>
            <w:vAlign w:val="top"/>
          </w:tcPr>
          <w:p>
            <w:r/>
            <w:r>
              <w:rPr>
                <w:rFonts w:ascii="Arial" w:hAnsi="Arial"/>
                <w:sz w:val="20"/>
              </w:rPr>
              <w:t>Not in plan</w:t>
            </w:r>
          </w:p>
        </w:tc>
        <w:tc>
          <w:tcPr>
            <w:tcW w:type="dxa" w:w="2880"/>
            <w:vAlign w:val="top"/>
          </w:tcPr>
          <w:p>
            <w:r/>
            <w:r>
              <w:rPr>
                <w:rFonts w:ascii="Arial" w:hAnsi="Arial"/>
                <w:sz w:val="20"/>
              </w:rPr>
              <w:t>Three triggers: P1 not demonstrable by week 5; classifier &lt;70% top-1 at P5 entrance; West-India pilot gate failure</w:t>
            </w:r>
          </w:p>
        </w:tc>
        <w:tc>
          <w:tcPr>
            <w:tcW w:type="dxa" w:w="1008"/>
            <w:vAlign w:val="top"/>
          </w:tcPr>
          <w:p>
            <w:r/>
            <w:r>
              <w:rPr>
                <w:rFonts w:ascii="Arial" w:hAnsi="Arial"/>
                <w:sz w:val="20"/>
              </w:rPr>
              <w:t>Round 4–5</w:t>
            </w:r>
          </w:p>
        </w:tc>
        <w:tc>
          <w:tcPr>
            <w:tcW w:type="dxa" w:w="2160"/>
            <w:vAlign w:val="top"/>
          </w:tcPr>
          <w:p>
            <w:r/>
            <w:r>
              <w:rPr>
                <w:rFonts w:ascii="Arial" w:hAnsi="Arial"/>
                <w:sz w:val="20"/>
              </w:rPr>
              <w:t>The plan needs conditions under which the plan itself is reconsidered, not just per-phase exit gates.</w:t>
            </w:r>
          </w:p>
        </w:tc>
      </w:tr>
      <w:tr>
        <w:tc>
          <w:tcPr>
            <w:tcW w:type="dxa" w:w="1728"/>
            <w:shd w:val="clear" w:color="auto" w:fill="EDEDED"/>
            <w:vAlign w:val="top"/>
          </w:tcPr>
          <w:p>
            <w:r/>
            <w:r>
              <w:rPr>
                <w:rFonts w:ascii="Arial" w:hAnsi="Arial"/>
                <w:sz w:val="20"/>
              </w:rPr>
              <w:t>Production-classifier model class</w:t>
            </w:r>
          </w:p>
        </w:tc>
        <w:tc>
          <w:tcPr>
            <w:tcW w:type="dxa" w:w="2160"/>
            <w:shd w:val="clear" w:color="auto" w:fill="EDEDED"/>
            <w:vAlign w:val="top"/>
          </w:tcPr>
          <w:p>
            <w:r/>
            <w:r>
              <w:rPr>
                <w:rFonts w:ascii="Arial" w:hAnsi="Arial"/>
                <w:sz w:val="20"/>
              </w:rPr>
              <w:t>Not named</w:t>
            </w:r>
          </w:p>
        </w:tc>
        <w:tc>
          <w:tcPr>
            <w:tcW w:type="dxa" w:w="2880"/>
            <w:shd w:val="clear" w:color="auto" w:fill="EDEDED"/>
            <w:vAlign w:val="top"/>
          </w:tcPr>
          <w:p>
            <w:r/>
            <w:r>
              <w:rPr>
                <w:rFonts w:ascii="Arial" w:hAnsi="Arial"/>
                <w:sz w:val="20"/>
              </w:rPr>
              <w:t>Phase 2 architecture decision (self-hosted Llama / Azure OpenAI India / AWS Bedrock India) with MLOps + Compliance sign-off per FR-130</w:t>
            </w:r>
          </w:p>
        </w:tc>
        <w:tc>
          <w:tcPr>
            <w:tcW w:type="dxa" w:w="1008"/>
            <w:shd w:val="clear" w:color="auto" w:fill="EDEDED"/>
            <w:vAlign w:val="top"/>
          </w:tcPr>
          <w:p>
            <w:r/>
            <w:r>
              <w:rPr>
                <w:rFonts w:ascii="Arial" w:hAnsi="Arial"/>
                <w:sz w:val="20"/>
              </w:rPr>
              <w:t>Round 5</w:t>
            </w:r>
          </w:p>
        </w:tc>
        <w:tc>
          <w:tcPr>
            <w:tcW w:type="dxa" w:w="2160"/>
            <w:shd w:val="clear" w:color="auto" w:fill="EDEDED"/>
            <w:vAlign w:val="top"/>
          </w:tcPr>
          <w:p>
            <w:r/>
            <w:r>
              <w:rPr>
                <w:rFonts w:ascii="Arial" w:hAnsi="Arial"/>
                <w:sz w:val="20"/>
              </w:rPr>
              <w:t>Calibrated accuracy curve in BRD §1.6 is achievable only with a real Llama-class or enterprise-tenant LLM. Decision is gating for Phase 5 validation.</w:t>
            </w:r>
          </w:p>
        </w:tc>
      </w:tr>
    </w:tbl>
    <w:p>
      <w:r>
        <w:br w:type="page"/>
      </w:r>
    </w:p>
    <w:p>
      <w:pPr>
        <w:pStyle w:val="Heading1"/>
        <w:keepNext/>
        <w:spacing w:before="280" w:after="120"/>
      </w:pPr>
      <w:r>
        <w:rPr>
          <w:rFonts w:ascii="Arial" w:hAnsi="Arial"/>
          <w:b/>
          <w:color w:val="1B3A5C"/>
          <w:sz w:val="36"/>
        </w:rPr>
        <w:t>5. Risk Register</w:t>
      </w:r>
    </w:p>
    <w:p>
      <w:pPr>
        <w:spacing w:after="120" w:line="276" w:lineRule="auto"/>
      </w:pPr>
      <w:r>
        <w:rPr>
          <w:rFonts w:ascii="Arial" w:hAnsi="Arial"/>
          <w:b w:val="0"/>
          <w:i w:val="0"/>
          <w:color w:val="000000"/>
          <w:sz w:val="22"/>
        </w:rPr>
        <w:t>Risks identified during the debate, plus inherited risks the plan is responsible for tracking. Severity scale: HIGH / MEDIUM / LOW. 'Addressed' indicates whether the debate produced a mitigation that is now in the recommended plan.</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720"/>
            <w:shd w:val="clear" w:color="auto" w:fill="1B3A5C"/>
            <w:vAlign w:val="center"/>
          </w:tcPr>
          <w:p>
            <w:r/>
            <w:r>
              <w:rPr>
                <w:rFonts w:ascii="Arial" w:hAnsi="Arial"/>
                <w:b/>
                <w:color w:val="FFFFFF"/>
                <w:sz w:val="20"/>
              </w:rPr>
              <w:t>ID</w:t>
            </w:r>
          </w:p>
        </w:tc>
        <w:tc>
          <w:tcPr>
            <w:tcW w:type="dxa" w:w="3600"/>
            <w:shd w:val="clear" w:color="auto" w:fill="1B3A5C"/>
            <w:vAlign w:val="center"/>
          </w:tcPr>
          <w:p>
            <w:r/>
            <w:r>
              <w:rPr>
                <w:rFonts w:ascii="Arial" w:hAnsi="Arial"/>
                <w:b/>
                <w:color w:val="FFFFFF"/>
                <w:sz w:val="20"/>
              </w:rPr>
              <w:t>Risk</w:t>
            </w:r>
          </w:p>
        </w:tc>
        <w:tc>
          <w:tcPr>
            <w:tcW w:type="dxa" w:w="1008"/>
            <w:shd w:val="clear" w:color="auto" w:fill="1B3A5C"/>
            <w:vAlign w:val="center"/>
          </w:tcPr>
          <w:p>
            <w:r/>
            <w:r>
              <w:rPr>
                <w:rFonts w:ascii="Arial" w:hAnsi="Arial"/>
                <w:b/>
                <w:color w:val="FFFFFF"/>
                <w:sz w:val="20"/>
              </w:rPr>
              <w:t>Severity</w:t>
            </w:r>
          </w:p>
        </w:tc>
        <w:tc>
          <w:tcPr>
            <w:tcW w:type="dxa" w:w="1296"/>
            <w:shd w:val="clear" w:color="auto" w:fill="1B3A5C"/>
            <w:vAlign w:val="center"/>
          </w:tcPr>
          <w:p>
            <w:r/>
            <w:r>
              <w:rPr>
                <w:rFonts w:ascii="Arial" w:hAnsi="Arial"/>
                <w:b/>
                <w:color w:val="FFFFFF"/>
                <w:sz w:val="20"/>
              </w:rPr>
              <w:t>Addressed</w:t>
            </w:r>
          </w:p>
        </w:tc>
        <w:tc>
          <w:tcPr>
            <w:tcW w:type="dxa" w:w="3456"/>
            <w:shd w:val="clear" w:color="auto" w:fill="1B3A5C"/>
            <w:vAlign w:val="center"/>
          </w:tcPr>
          <w:p>
            <w:r/>
            <w:r>
              <w:rPr>
                <w:rFonts w:ascii="Arial" w:hAnsi="Arial"/>
                <w:b/>
                <w:color w:val="FFFFFF"/>
                <w:sz w:val="20"/>
              </w:rPr>
              <w:t>Mitigation / Plan Step</w:t>
            </w:r>
          </w:p>
        </w:tc>
      </w:tr>
      <w:tr>
        <w:tc>
          <w:tcPr>
            <w:tcW w:type="dxa" w:w="720"/>
            <w:vAlign w:val="top"/>
          </w:tcPr>
          <w:p>
            <w:r/>
            <w:r>
              <w:rPr>
                <w:rFonts w:ascii="Arial" w:hAnsi="Arial"/>
                <w:sz w:val="20"/>
              </w:rPr>
              <w:t>R1</w:t>
            </w:r>
          </w:p>
        </w:tc>
        <w:tc>
          <w:tcPr>
            <w:tcW w:type="dxa" w:w="3600"/>
            <w:vAlign w:val="top"/>
          </w:tcPr>
          <w:p>
            <w:r/>
            <w:r>
              <w:rPr>
                <w:rFonts w:ascii="Arial" w:hAnsi="Arial"/>
                <w:sz w:val="20"/>
              </w:rPr>
              <w:t>Phase 0.5 master-data steward staffing slips on client side</w:t>
            </w:r>
          </w:p>
        </w:tc>
        <w:tc>
          <w:tcPr>
            <w:tcW w:type="dxa" w:w="1008"/>
            <w:vAlign w:val="top"/>
          </w:tcPr>
          <w:p>
            <w:r/>
            <w:r>
              <w:rPr>
                <w:rFonts w:ascii="Arial" w:hAnsi="Arial"/>
                <w:sz w:val="20"/>
              </w:rPr>
              <w:t>HIGH</w:t>
            </w:r>
          </w:p>
        </w:tc>
        <w:tc>
          <w:tcPr>
            <w:tcW w:type="dxa" w:w="1296"/>
            <w:vAlign w:val="top"/>
          </w:tcPr>
          <w:p>
            <w:r/>
            <w:r>
              <w:rPr>
                <w:rFonts w:ascii="Arial" w:hAnsi="Arial"/>
                <w:sz w:val="20"/>
              </w:rPr>
              <w:t>Partial</w:t>
            </w:r>
          </w:p>
        </w:tc>
        <w:tc>
          <w:tcPr>
            <w:tcW w:type="dxa" w:w="3456"/>
            <w:vAlign w:val="top"/>
          </w:tcPr>
          <w:p>
            <w:r/>
            <w:r>
              <w:rPr>
                <w:rFonts w:ascii="Arial" w:hAnsi="Arial"/>
                <w:sz w:val="20"/>
              </w:rPr>
              <w:t>Day-1-of-Phase-0.5 risk raise to steering committee; require named primary + named backup steward; Phase 2 critical-path-blocker re-eval if slip &gt; 2 weeks.</w:t>
            </w:r>
          </w:p>
        </w:tc>
      </w:tr>
      <w:tr>
        <w:tc>
          <w:tcPr>
            <w:tcW w:type="dxa" w:w="720"/>
            <w:shd w:val="clear" w:color="auto" w:fill="EDEDED"/>
            <w:vAlign w:val="top"/>
          </w:tcPr>
          <w:p>
            <w:r/>
            <w:r>
              <w:rPr>
                <w:rFonts w:ascii="Arial" w:hAnsi="Arial"/>
                <w:sz w:val="20"/>
              </w:rPr>
              <w:t>R2</w:t>
            </w:r>
          </w:p>
        </w:tc>
        <w:tc>
          <w:tcPr>
            <w:tcW w:type="dxa" w:w="3600"/>
            <w:shd w:val="clear" w:color="auto" w:fill="EDEDED"/>
            <w:vAlign w:val="top"/>
          </w:tcPr>
          <w:p>
            <w:r/>
            <w:r>
              <w:rPr>
                <w:rFonts w:ascii="Arial" w:hAnsi="Arial"/>
                <w:sz w:val="20"/>
              </w:rPr>
              <w:t>Client/SOW expectations anchored to 16-week MVP figure rather than the 17–19 week plan-of-record</w:t>
            </w:r>
          </w:p>
        </w:tc>
        <w:tc>
          <w:tcPr>
            <w:tcW w:type="dxa" w:w="1008"/>
            <w:shd w:val="clear" w:color="auto" w:fill="EDEDED"/>
            <w:vAlign w:val="top"/>
          </w:tcPr>
          <w:p>
            <w:r/>
            <w:r>
              <w:rPr>
                <w:rFonts w:ascii="Arial" w:hAnsi="Arial"/>
                <w:sz w:val="20"/>
              </w:rPr>
              <w:t>HIGH</w:t>
            </w:r>
          </w:p>
        </w:tc>
        <w:tc>
          <w:tcPr>
            <w:tcW w:type="dxa" w:w="1296"/>
            <w:shd w:val="clear" w:color="auto" w:fill="EDEDED"/>
            <w:vAlign w:val="top"/>
          </w:tcPr>
          <w:p>
            <w:r/>
            <w:r>
              <w:rPr>
                <w:rFonts w:ascii="Arial" w:hAnsi="Arial"/>
                <w:sz w:val="20"/>
              </w:rPr>
              <w:t>Partial</w:t>
            </w:r>
          </w:p>
        </w:tc>
        <w:tc>
          <w:tcPr>
            <w:tcW w:type="dxa" w:w="3456"/>
            <w:shd w:val="clear" w:color="auto" w:fill="EDEDED"/>
            <w:vAlign w:val="top"/>
          </w:tcPr>
          <w:p>
            <w:r/>
            <w:r>
              <w:rPr>
                <w:rFonts w:ascii="Arial" w:hAnsi="Arial"/>
                <w:sz w:val="20"/>
              </w:rPr>
              <w:t>Reissue gap remediation plan as v1.1 with explicit calendar; revise SOW timeline; communicate to client steering committee at Phase 0 closure.</w:t>
            </w:r>
          </w:p>
        </w:tc>
      </w:tr>
      <w:tr>
        <w:tc>
          <w:tcPr>
            <w:tcW w:type="dxa" w:w="720"/>
            <w:vAlign w:val="top"/>
          </w:tcPr>
          <w:p>
            <w:r/>
            <w:r>
              <w:rPr>
                <w:rFonts w:ascii="Arial" w:hAnsi="Arial"/>
                <w:sz w:val="20"/>
              </w:rPr>
              <w:t>R3</w:t>
            </w:r>
          </w:p>
        </w:tc>
        <w:tc>
          <w:tcPr>
            <w:tcW w:type="dxa" w:w="3600"/>
            <w:vAlign w:val="top"/>
          </w:tcPr>
          <w:p>
            <w:r/>
            <w:r>
              <w:rPr>
                <w:rFonts w:ascii="Arial" w:hAnsi="Arial"/>
                <w:sz w:val="20"/>
              </w:rPr>
              <w:t>Production-classifier model class undecided through Phase 1–2</w:t>
            </w:r>
          </w:p>
        </w:tc>
        <w:tc>
          <w:tcPr>
            <w:tcW w:type="dxa" w:w="1008"/>
            <w:vAlign w:val="top"/>
          </w:tcPr>
          <w:p>
            <w:r/>
            <w:r>
              <w:rPr>
                <w:rFonts w:ascii="Arial" w:hAnsi="Arial"/>
                <w:sz w:val="20"/>
              </w:rPr>
              <w:t>HIGH</w:t>
            </w:r>
          </w:p>
        </w:tc>
        <w:tc>
          <w:tcPr>
            <w:tcW w:type="dxa" w:w="1296"/>
            <w:vAlign w:val="top"/>
          </w:tcPr>
          <w:p>
            <w:r/>
            <w:r>
              <w:rPr>
                <w:rFonts w:ascii="Arial" w:hAnsi="Arial"/>
                <w:sz w:val="20"/>
              </w:rPr>
              <w:t>Yes</w:t>
            </w:r>
          </w:p>
        </w:tc>
        <w:tc>
          <w:tcPr>
            <w:tcW w:type="dxa" w:w="3456"/>
            <w:vAlign w:val="top"/>
          </w:tcPr>
          <w:p>
            <w:r/>
            <w:r>
              <w:rPr>
                <w:rFonts w:ascii="Arial" w:hAnsi="Arial"/>
                <w:sz w:val="20"/>
              </w:rPr>
              <w:t>Phase 2 architecture decision with MLOps + Compliance sign-off (FR-130); choose between self-hosted Llama, Azure OpenAI India tenant, or AWS Bedrock India; decision gates Phase 5.</w:t>
            </w:r>
          </w:p>
        </w:tc>
      </w:tr>
      <w:tr>
        <w:tc>
          <w:tcPr>
            <w:tcW w:type="dxa" w:w="720"/>
            <w:shd w:val="clear" w:color="auto" w:fill="EDEDED"/>
            <w:vAlign w:val="top"/>
          </w:tcPr>
          <w:p>
            <w:r/>
            <w:r>
              <w:rPr>
                <w:rFonts w:ascii="Arial" w:hAnsi="Arial"/>
                <w:sz w:val="20"/>
              </w:rPr>
              <w:t>R4</w:t>
            </w:r>
          </w:p>
        </w:tc>
        <w:tc>
          <w:tcPr>
            <w:tcW w:type="dxa" w:w="3600"/>
            <w:shd w:val="clear" w:color="auto" w:fill="EDEDED"/>
            <w:vAlign w:val="top"/>
          </w:tcPr>
          <w:p>
            <w:r/>
            <w:r>
              <w:rPr>
                <w:rFonts w:ascii="Arial" w:hAnsi="Arial"/>
                <w:sz w:val="20"/>
              </w:rPr>
              <w:t>Frontend localStorage tokens in any UAT-bound build</w:t>
            </w:r>
          </w:p>
        </w:tc>
        <w:tc>
          <w:tcPr>
            <w:tcW w:type="dxa" w:w="1008"/>
            <w:shd w:val="clear" w:color="auto" w:fill="EDEDED"/>
            <w:vAlign w:val="top"/>
          </w:tcPr>
          <w:p>
            <w:r/>
            <w:r>
              <w:rPr>
                <w:rFonts w:ascii="Arial" w:hAnsi="Arial"/>
                <w:sz w:val="20"/>
              </w:rPr>
              <w:t>HIGH</w:t>
            </w:r>
          </w:p>
        </w:tc>
        <w:tc>
          <w:tcPr>
            <w:tcW w:type="dxa" w:w="1296"/>
            <w:shd w:val="clear" w:color="auto" w:fill="EDEDED"/>
            <w:vAlign w:val="top"/>
          </w:tcPr>
          <w:p>
            <w:r/>
            <w:r>
              <w:rPr>
                <w:rFonts w:ascii="Arial" w:hAnsi="Arial"/>
                <w:sz w:val="20"/>
              </w:rPr>
              <w:t>Yes</w:t>
            </w:r>
          </w:p>
        </w:tc>
        <w:tc>
          <w:tcPr>
            <w:tcW w:type="dxa" w:w="3456"/>
            <w:shd w:val="clear" w:color="auto" w:fill="EDEDED"/>
            <w:vAlign w:val="top"/>
          </w:tcPr>
          <w:p>
            <w:r/>
            <w:r>
              <w:rPr>
                <w:rFonts w:ascii="Arial" w:hAnsi="Arial"/>
                <w:sz w:val="20"/>
              </w:rPr>
              <w:t>Phase 3 introduces httpOnly secure cookies / BFF session pattern; AUTH_MODE flag prevents dev login outside local dev.</w:t>
            </w:r>
          </w:p>
        </w:tc>
      </w:tr>
      <w:tr>
        <w:tc>
          <w:tcPr>
            <w:tcW w:type="dxa" w:w="720"/>
            <w:vAlign w:val="top"/>
          </w:tcPr>
          <w:p>
            <w:r/>
            <w:r>
              <w:rPr>
                <w:rFonts w:ascii="Arial" w:hAnsi="Arial"/>
                <w:sz w:val="20"/>
              </w:rPr>
              <w:t>R5</w:t>
            </w:r>
          </w:p>
        </w:tc>
        <w:tc>
          <w:tcPr>
            <w:tcW w:type="dxa" w:w="3600"/>
            <w:vAlign w:val="top"/>
          </w:tcPr>
          <w:p>
            <w:r/>
            <w:r>
              <w:rPr>
                <w:rFonts w:ascii="Arial" w:hAnsi="Arial"/>
                <w:sz w:val="20"/>
              </w:rPr>
              <w:t>FR-016 fuzzy-match UX not designed before officer testing</w:t>
            </w:r>
          </w:p>
        </w:tc>
        <w:tc>
          <w:tcPr>
            <w:tcW w:type="dxa" w:w="1008"/>
            <w:vAlign w:val="top"/>
          </w:tcPr>
          <w:p>
            <w:r/>
            <w:r>
              <w:rPr>
                <w:rFonts w:ascii="Arial" w:hAnsi="Arial"/>
                <w:sz w:val="20"/>
              </w:rPr>
              <w:t>MEDIUM</w:t>
            </w:r>
          </w:p>
        </w:tc>
        <w:tc>
          <w:tcPr>
            <w:tcW w:type="dxa" w:w="1296"/>
            <w:vAlign w:val="top"/>
          </w:tcPr>
          <w:p>
            <w:r/>
            <w:r>
              <w:rPr>
                <w:rFonts w:ascii="Arial" w:hAnsi="Arial"/>
                <w:sz w:val="20"/>
              </w:rPr>
              <w:t>Yes</w:t>
            </w:r>
          </w:p>
        </w:tc>
        <w:tc>
          <w:tcPr>
            <w:tcW w:type="dxa" w:w="3456"/>
            <w:vAlign w:val="top"/>
          </w:tcPr>
          <w:p>
            <w:r/>
            <w:r>
              <w:rPr>
                <w:rFonts w:ascii="Arial" w:hAnsi="Arial"/>
                <w:sz w:val="20"/>
              </w:rPr>
              <w:t>Phase 2 design exercise specifying disambiguation modal with one-click candidate selection.</w:t>
            </w:r>
          </w:p>
        </w:tc>
      </w:tr>
      <w:tr>
        <w:tc>
          <w:tcPr>
            <w:tcW w:type="dxa" w:w="720"/>
            <w:shd w:val="clear" w:color="auto" w:fill="EDEDED"/>
            <w:vAlign w:val="top"/>
          </w:tcPr>
          <w:p>
            <w:r/>
            <w:r>
              <w:rPr>
                <w:rFonts w:ascii="Arial" w:hAnsi="Arial"/>
                <w:sz w:val="20"/>
              </w:rPr>
              <w:t>R6</w:t>
            </w:r>
          </w:p>
        </w:tc>
        <w:tc>
          <w:tcPr>
            <w:tcW w:type="dxa" w:w="3600"/>
            <w:shd w:val="clear" w:color="auto" w:fill="EDEDED"/>
            <w:vAlign w:val="top"/>
          </w:tcPr>
          <w:p>
            <w:r/>
            <w:r>
              <w:rPr>
                <w:rFonts w:ascii="Arial" w:hAnsi="Arial"/>
                <w:sz w:val="20"/>
              </w:rPr>
              <w:t>Phase 1 vertical slice not demonstrable end-to-end by week 5</w:t>
            </w:r>
          </w:p>
        </w:tc>
        <w:tc>
          <w:tcPr>
            <w:tcW w:type="dxa" w:w="1008"/>
            <w:shd w:val="clear" w:color="auto" w:fill="EDEDED"/>
            <w:vAlign w:val="top"/>
          </w:tcPr>
          <w:p>
            <w:r/>
            <w:r>
              <w:rPr>
                <w:rFonts w:ascii="Arial" w:hAnsi="Arial"/>
                <w:sz w:val="20"/>
              </w:rPr>
              <w:t>HIGH</w:t>
            </w:r>
          </w:p>
        </w:tc>
        <w:tc>
          <w:tcPr>
            <w:tcW w:type="dxa" w:w="1296"/>
            <w:shd w:val="clear" w:color="auto" w:fill="EDEDED"/>
            <w:vAlign w:val="top"/>
          </w:tcPr>
          <w:p>
            <w:r/>
            <w:r>
              <w:rPr>
                <w:rFonts w:ascii="Arial" w:hAnsi="Arial"/>
                <w:sz w:val="20"/>
              </w:rPr>
              <w:t>Yes (re-evaluation trigger)</w:t>
            </w:r>
          </w:p>
        </w:tc>
        <w:tc>
          <w:tcPr>
            <w:tcW w:type="dxa" w:w="3456"/>
            <w:shd w:val="clear" w:color="auto" w:fill="EDEDED"/>
            <w:vAlign w:val="top"/>
          </w:tcPr>
          <w:p>
            <w:r/>
            <w:r>
              <w:rPr>
                <w:rFonts w:ascii="Arial" w:hAnsi="Arial"/>
                <w:sz w:val="20"/>
              </w:rPr>
              <w:t>Triggers structured plan review, not continuation; named in Section 8 risks.</w:t>
            </w:r>
          </w:p>
        </w:tc>
      </w:tr>
      <w:tr>
        <w:tc>
          <w:tcPr>
            <w:tcW w:type="dxa" w:w="720"/>
            <w:vAlign w:val="top"/>
          </w:tcPr>
          <w:p>
            <w:r/>
            <w:r>
              <w:rPr>
                <w:rFonts w:ascii="Arial" w:hAnsi="Arial"/>
                <w:sz w:val="20"/>
              </w:rPr>
              <w:t>R7</w:t>
            </w:r>
          </w:p>
        </w:tc>
        <w:tc>
          <w:tcPr>
            <w:tcW w:type="dxa" w:w="3600"/>
            <w:vAlign w:val="top"/>
          </w:tcPr>
          <w:p>
            <w:r/>
            <w:r>
              <w:rPr>
                <w:rFonts w:ascii="Arial" w:hAnsi="Arial"/>
                <w:sz w:val="20"/>
              </w:rPr>
              <w:t>Classifier benchmark &lt;70% top-1 by Phase 5 entrance</w:t>
            </w:r>
          </w:p>
        </w:tc>
        <w:tc>
          <w:tcPr>
            <w:tcW w:type="dxa" w:w="1008"/>
            <w:vAlign w:val="top"/>
          </w:tcPr>
          <w:p>
            <w:r/>
            <w:r>
              <w:rPr>
                <w:rFonts w:ascii="Arial" w:hAnsi="Arial"/>
                <w:sz w:val="20"/>
              </w:rPr>
              <w:t>HIGH</w:t>
            </w:r>
          </w:p>
        </w:tc>
        <w:tc>
          <w:tcPr>
            <w:tcW w:type="dxa" w:w="1296"/>
            <w:vAlign w:val="top"/>
          </w:tcPr>
          <w:p>
            <w:r/>
            <w:r>
              <w:rPr>
                <w:rFonts w:ascii="Arial" w:hAnsi="Arial"/>
                <w:sz w:val="20"/>
              </w:rPr>
              <w:t>Yes (re-evaluation trigger)</w:t>
            </w:r>
          </w:p>
        </w:tc>
        <w:tc>
          <w:tcPr>
            <w:tcW w:type="dxa" w:w="3456"/>
            <w:vAlign w:val="top"/>
          </w:tcPr>
          <w:p>
            <w:r/>
            <w:r>
              <w:rPr>
                <w:rFonts w:ascii="Arial" w:hAnsi="Arial"/>
                <w:sz w:val="20"/>
              </w:rPr>
              <w:t>Indicates classifier-architecture choice is wrong; forces return to FR-128 OFF mode as the operating posture and architecture re-decision.</w:t>
            </w:r>
          </w:p>
        </w:tc>
      </w:tr>
      <w:tr>
        <w:tc>
          <w:tcPr>
            <w:tcW w:type="dxa" w:w="720"/>
            <w:shd w:val="clear" w:color="auto" w:fill="EDEDED"/>
            <w:vAlign w:val="top"/>
          </w:tcPr>
          <w:p>
            <w:r/>
            <w:r>
              <w:rPr>
                <w:rFonts w:ascii="Arial" w:hAnsi="Arial"/>
                <w:sz w:val="20"/>
              </w:rPr>
              <w:t>R8</w:t>
            </w:r>
          </w:p>
        </w:tc>
        <w:tc>
          <w:tcPr>
            <w:tcW w:type="dxa" w:w="3600"/>
            <w:shd w:val="clear" w:color="auto" w:fill="EDEDED"/>
            <w:vAlign w:val="top"/>
          </w:tcPr>
          <w:p>
            <w:r/>
            <w:r>
              <w:rPr>
                <w:rFonts w:ascii="Arial" w:hAnsi="Arial"/>
                <w:sz w:val="20"/>
              </w:rPr>
              <w:t>West-India pilot go/no-go gate failure</w:t>
            </w:r>
          </w:p>
        </w:tc>
        <w:tc>
          <w:tcPr>
            <w:tcW w:type="dxa" w:w="1008"/>
            <w:shd w:val="clear" w:color="auto" w:fill="EDEDED"/>
            <w:vAlign w:val="top"/>
          </w:tcPr>
          <w:p>
            <w:r/>
            <w:r>
              <w:rPr>
                <w:rFonts w:ascii="Arial" w:hAnsi="Arial"/>
                <w:sz w:val="20"/>
              </w:rPr>
              <w:t>HIGH</w:t>
            </w:r>
          </w:p>
        </w:tc>
        <w:tc>
          <w:tcPr>
            <w:tcW w:type="dxa" w:w="1296"/>
            <w:shd w:val="clear" w:color="auto" w:fill="EDEDED"/>
            <w:vAlign w:val="top"/>
          </w:tcPr>
          <w:p>
            <w:r/>
            <w:r>
              <w:rPr>
                <w:rFonts w:ascii="Arial" w:hAnsi="Arial"/>
                <w:sz w:val="20"/>
              </w:rPr>
              <w:t>Yes (re-evaluation trigger)</w:t>
            </w:r>
          </w:p>
        </w:tc>
        <w:tc>
          <w:tcPr>
            <w:tcW w:type="dxa" w:w="3456"/>
            <w:shd w:val="clear" w:color="auto" w:fill="EDEDED"/>
            <w:vAlign w:val="top"/>
          </w:tcPr>
          <w:p>
            <w:r/>
            <w:r>
              <w:rPr>
                <w:rFonts w:ascii="Arial" w:hAnsi="Arial"/>
                <w:sz w:val="20"/>
              </w:rPr>
              <w:t>BRD §12.2 inheritance; engagement does not proceed past pilot until pilot KPIs are met.</w:t>
            </w:r>
          </w:p>
        </w:tc>
      </w:tr>
      <w:tr>
        <w:tc>
          <w:tcPr>
            <w:tcW w:type="dxa" w:w="720"/>
            <w:vAlign w:val="top"/>
          </w:tcPr>
          <w:p>
            <w:r/>
            <w:r>
              <w:rPr>
                <w:rFonts w:ascii="Arial" w:hAnsi="Arial"/>
                <w:sz w:val="20"/>
              </w:rPr>
              <w:t>R9</w:t>
            </w:r>
          </w:p>
        </w:tc>
        <w:tc>
          <w:tcPr>
            <w:tcW w:type="dxa" w:w="3600"/>
            <w:vAlign w:val="top"/>
          </w:tcPr>
          <w:p>
            <w:r/>
            <w:r>
              <w:rPr>
                <w:rFonts w:ascii="Arial" w:hAnsi="Arial"/>
                <w:sz w:val="20"/>
              </w:rPr>
              <w:t>Microsoft Graph integration ships before FR-155 secondary mailbox is designed in</w:t>
            </w:r>
          </w:p>
        </w:tc>
        <w:tc>
          <w:tcPr>
            <w:tcW w:type="dxa" w:w="1008"/>
            <w:vAlign w:val="top"/>
          </w:tcPr>
          <w:p>
            <w:r/>
            <w:r>
              <w:rPr>
                <w:rFonts w:ascii="Arial" w:hAnsi="Arial"/>
                <w:sz w:val="20"/>
              </w:rPr>
              <w:t>HIGH</w:t>
            </w:r>
          </w:p>
        </w:tc>
        <w:tc>
          <w:tcPr>
            <w:tcW w:type="dxa" w:w="1296"/>
            <w:vAlign w:val="top"/>
          </w:tcPr>
          <w:p>
            <w:r/>
            <w:r>
              <w:rPr>
                <w:rFonts w:ascii="Arial" w:hAnsi="Arial"/>
                <w:sz w:val="20"/>
              </w:rPr>
              <w:t>Yes</w:t>
            </w:r>
          </w:p>
        </w:tc>
        <w:tc>
          <w:tcPr>
            <w:tcW w:type="dxa" w:w="3456"/>
            <w:vAlign w:val="top"/>
          </w:tcPr>
          <w:p>
            <w:r/>
            <w:r>
              <w:rPr>
                <w:rFonts w:ascii="Arial" w:hAnsi="Arial"/>
                <w:sz w:val="20"/>
              </w:rPr>
              <w:t>Phase 4 ships Graph + Gmail in parallel with Message-ID de-dup; outbound SMTP failover; quarterly drill playbook.</w:t>
            </w:r>
          </w:p>
        </w:tc>
      </w:tr>
      <w:tr>
        <w:tc>
          <w:tcPr>
            <w:tcW w:type="dxa" w:w="720"/>
            <w:shd w:val="clear" w:color="auto" w:fill="EDEDED"/>
            <w:vAlign w:val="top"/>
          </w:tcPr>
          <w:p>
            <w:r/>
            <w:r>
              <w:rPr>
                <w:rFonts w:ascii="Arial" w:hAnsi="Arial"/>
                <w:sz w:val="20"/>
              </w:rPr>
              <w:t>R10</w:t>
            </w:r>
          </w:p>
        </w:tc>
        <w:tc>
          <w:tcPr>
            <w:tcW w:type="dxa" w:w="3600"/>
            <w:shd w:val="clear" w:color="auto" w:fill="EDEDED"/>
            <w:vAlign w:val="top"/>
          </w:tcPr>
          <w:p>
            <w:r/>
            <w:r>
              <w:rPr>
                <w:rFonts w:ascii="Arial" w:hAnsi="Arial"/>
                <w:sz w:val="20"/>
              </w:rPr>
              <w:t>Pre-MVP-Lite synthetic corpus (FR-129) not generated before prompt iteration begins</w:t>
            </w:r>
          </w:p>
        </w:tc>
        <w:tc>
          <w:tcPr>
            <w:tcW w:type="dxa" w:w="1008"/>
            <w:shd w:val="clear" w:color="auto" w:fill="EDEDED"/>
            <w:vAlign w:val="top"/>
          </w:tcPr>
          <w:p>
            <w:r/>
            <w:r>
              <w:rPr>
                <w:rFonts w:ascii="Arial" w:hAnsi="Arial"/>
                <w:sz w:val="20"/>
              </w:rPr>
              <w:t>MEDIUM</w:t>
            </w:r>
          </w:p>
        </w:tc>
        <w:tc>
          <w:tcPr>
            <w:tcW w:type="dxa" w:w="1296"/>
            <w:shd w:val="clear" w:color="auto" w:fill="EDEDED"/>
            <w:vAlign w:val="top"/>
          </w:tcPr>
          <w:p>
            <w:r/>
            <w:r>
              <w:rPr>
                <w:rFonts w:ascii="Arial" w:hAnsi="Arial"/>
                <w:sz w:val="20"/>
              </w:rPr>
              <w:t>Yes</w:t>
            </w:r>
          </w:p>
        </w:tc>
        <w:tc>
          <w:tcPr>
            <w:tcW w:type="dxa" w:w="3456"/>
            <w:shd w:val="clear" w:color="auto" w:fill="EDEDED"/>
            <w:vAlign w:val="top"/>
          </w:tcPr>
          <w:p>
            <w:r/>
            <w:r>
              <w:rPr>
                <w:rFonts w:ascii="Arial" w:hAnsi="Arial"/>
                <w:sz w:val="20"/>
              </w:rPr>
              <w:t>Phase 0.5 named deliverable; signed and versioned; corruption detectable; production data accessible only in pre-prod with JIT elevation.</w:t>
            </w:r>
          </w:p>
        </w:tc>
      </w:tr>
      <w:tr>
        <w:tc>
          <w:tcPr>
            <w:tcW w:type="dxa" w:w="720"/>
            <w:vAlign w:val="top"/>
          </w:tcPr>
          <w:p>
            <w:r/>
            <w:r>
              <w:rPr>
                <w:rFonts w:ascii="Arial" w:hAnsi="Arial"/>
                <w:sz w:val="20"/>
              </w:rPr>
              <w:t>R11</w:t>
            </w:r>
          </w:p>
        </w:tc>
        <w:tc>
          <w:tcPr>
            <w:tcW w:type="dxa" w:w="3600"/>
            <w:vAlign w:val="top"/>
          </w:tcPr>
          <w:p>
            <w:r/>
            <w:r>
              <w:rPr>
                <w:rFonts w:ascii="Arial" w:hAnsi="Arial"/>
                <w:sz w:val="20"/>
              </w:rPr>
              <w:t>Audit-log hash-chain anchored before accountable_officer_id captured at every state transition</w:t>
            </w:r>
          </w:p>
        </w:tc>
        <w:tc>
          <w:tcPr>
            <w:tcW w:type="dxa" w:w="1008"/>
            <w:vAlign w:val="top"/>
          </w:tcPr>
          <w:p>
            <w:r/>
            <w:r>
              <w:rPr>
                <w:rFonts w:ascii="Arial" w:hAnsi="Arial"/>
                <w:sz w:val="20"/>
              </w:rPr>
              <w:t>MEDIUM</w:t>
            </w:r>
          </w:p>
        </w:tc>
        <w:tc>
          <w:tcPr>
            <w:tcW w:type="dxa" w:w="1296"/>
            <w:vAlign w:val="top"/>
          </w:tcPr>
          <w:p>
            <w:r/>
            <w:r>
              <w:rPr>
                <w:rFonts w:ascii="Arial" w:hAnsi="Arial"/>
                <w:sz w:val="20"/>
              </w:rPr>
              <w:t>Yes</w:t>
            </w:r>
          </w:p>
        </w:tc>
        <w:tc>
          <w:tcPr>
            <w:tcW w:type="dxa" w:w="3456"/>
            <w:vAlign w:val="top"/>
          </w:tcPr>
          <w:p>
            <w:r/>
            <w:r>
              <w:rPr>
                <w:rFonts w:ascii="Arial" w:hAnsi="Arial"/>
                <w:sz w:val="20"/>
              </w:rPr>
              <w:t>Phase 1 includes accountable_officer_id and ai_confidence on every Case_Activity_Log row; Human Accountability banner non-dismissable on every officer-facing screen.</w:t>
            </w:r>
          </w:p>
        </w:tc>
      </w:tr>
      <w:tr>
        <w:tc>
          <w:tcPr>
            <w:tcW w:type="dxa" w:w="720"/>
            <w:shd w:val="clear" w:color="auto" w:fill="EDEDED"/>
            <w:vAlign w:val="top"/>
          </w:tcPr>
          <w:p>
            <w:r/>
            <w:r>
              <w:rPr>
                <w:rFonts w:ascii="Arial" w:hAnsi="Arial"/>
                <w:sz w:val="20"/>
              </w:rPr>
              <w:t>R12</w:t>
            </w:r>
          </w:p>
        </w:tc>
        <w:tc>
          <w:tcPr>
            <w:tcW w:type="dxa" w:w="3600"/>
            <w:shd w:val="clear" w:color="auto" w:fill="EDEDED"/>
            <w:vAlign w:val="top"/>
          </w:tcPr>
          <w:p>
            <w:r/>
            <w:r>
              <w:rPr>
                <w:rFonts w:ascii="Arial" w:hAnsi="Arial"/>
                <w:sz w:val="20"/>
              </w:rPr>
              <w:t>Collateral-intelligence schema added post-MVP-Lite</w:t>
            </w:r>
          </w:p>
        </w:tc>
        <w:tc>
          <w:tcPr>
            <w:tcW w:type="dxa" w:w="1008"/>
            <w:shd w:val="clear" w:color="auto" w:fill="EDEDED"/>
            <w:vAlign w:val="top"/>
          </w:tcPr>
          <w:p>
            <w:r/>
            <w:r>
              <w:rPr>
                <w:rFonts w:ascii="Arial" w:hAnsi="Arial"/>
                <w:sz w:val="20"/>
              </w:rPr>
              <w:t>MEDIUM</w:t>
            </w:r>
          </w:p>
        </w:tc>
        <w:tc>
          <w:tcPr>
            <w:tcW w:type="dxa" w:w="1296"/>
            <w:shd w:val="clear" w:color="auto" w:fill="EDEDED"/>
            <w:vAlign w:val="top"/>
          </w:tcPr>
          <w:p>
            <w:r/>
            <w:r>
              <w:rPr>
                <w:rFonts w:ascii="Arial" w:hAnsi="Arial"/>
                <w:sz w:val="20"/>
              </w:rPr>
              <w:t>Yes</w:t>
            </w:r>
          </w:p>
        </w:tc>
        <w:tc>
          <w:tcPr>
            <w:tcW w:type="dxa" w:w="3456"/>
            <w:shd w:val="clear" w:color="auto" w:fill="EDEDED"/>
            <w:vAlign w:val="top"/>
          </w:tcPr>
          <w:p>
            <w:r/>
            <w:r>
              <w:rPr>
                <w:rFonts w:ascii="Arial" w:hAnsi="Arial"/>
                <w:sz w:val="20"/>
              </w:rPr>
              <w:t>Phase 2 adds nullable schema columns; Phase 6 surfaces them in UI.</w:t>
            </w:r>
          </w:p>
        </w:tc>
      </w:tr>
      <w:tr>
        <w:tc>
          <w:tcPr>
            <w:tcW w:type="dxa" w:w="720"/>
            <w:vAlign w:val="top"/>
          </w:tcPr>
          <w:p>
            <w:r/>
            <w:r>
              <w:rPr>
                <w:rFonts w:ascii="Arial" w:hAnsi="Arial"/>
                <w:sz w:val="20"/>
              </w:rPr>
              <w:t>R13</w:t>
            </w:r>
          </w:p>
        </w:tc>
        <w:tc>
          <w:tcPr>
            <w:tcW w:type="dxa" w:w="3600"/>
            <w:vAlign w:val="top"/>
          </w:tcPr>
          <w:p>
            <w:r/>
            <w:r>
              <w:rPr>
                <w:rFonts w:ascii="Arial" w:hAnsi="Arial"/>
                <w:sz w:val="20"/>
              </w:rPr>
              <w:t>Third-party AI auditor not contracted in time for month 12 audit</w:t>
            </w:r>
          </w:p>
        </w:tc>
        <w:tc>
          <w:tcPr>
            <w:tcW w:type="dxa" w:w="1008"/>
            <w:vAlign w:val="top"/>
          </w:tcPr>
          <w:p>
            <w:r/>
            <w:r>
              <w:rPr>
                <w:rFonts w:ascii="Arial" w:hAnsi="Arial"/>
                <w:sz w:val="20"/>
              </w:rPr>
              <w:t>MEDIUM</w:t>
            </w:r>
          </w:p>
        </w:tc>
        <w:tc>
          <w:tcPr>
            <w:tcW w:type="dxa" w:w="1296"/>
            <w:vAlign w:val="top"/>
          </w:tcPr>
          <w:p>
            <w:r/>
            <w:r>
              <w:rPr>
                <w:rFonts w:ascii="Arial" w:hAnsi="Arial"/>
                <w:sz w:val="20"/>
              </w:rPr>
              <w:t>Partial</w:t>
            </w:r>
          </w:p>
        </w:tc>
        <w:tc>
          <w:tcPr>
            <w:tcW w:type="dxa" w:w="3456"/>
            <w:vAlign w:val="top"/>
          </w:tcPr>
          <w:p>
            <w:r/>
            <w:r>
              <w:rPr>
                <w:rFonts w:ascii="Arial" w:hAnsi="Arial"/>
                <w:sz w:val="20"/>
              </w:rPr>
              <w:t>Phase 0.5 pre-selects auditor per BRD §12.7; client-led contracting initiated at Phase 0.5 closure; surfaced to steering committee.</w:t>
            </w:r>
          </w:p>
        </w:tc>
      </w:tr>
      <w:tr>
        <w:tc>
          <w:tcPr>
            <w:tcW w:type="dxa" w:w="720"/>
            <w:shd w:val="clear" w:color="auto" w:fill="EDEDED"/>
            <w:vAlign w:val="top"/>
          </w:tcPr>
          <w:p>
            <w:r/>
            <w:r>
              <w:rPr>
                <w:rFonts w:ascii="Arial" w:hAnsi="Arial"/>
                <w:sz w:val="20"/>
              </w:rPr>
              <w:t>R14</w:t>
            </w:r>
          </w:p>
        </w:tc>
        <w:tc>
          <w:tcPr>
            <w:tcW w:type="dxa" w:w="3600"/>
            <w:shd w:val="clear" w:color="auto" w:fill="EDEDED"/>
            <w:vAlign w:val="top"/>
          </w:tcPr>
          <w:p>
            <w:r/>
            <w:r>
              <w:rPr>
                <w:rFonts w:ascii="Arial" w:hAnsi="Arial"/>
                <w:sz w:val="20"/>
              </w:rPr>
              <w:t>Officer trust in routing rationale insufficient at pilot</w:t>
            </w:r>
          </w:p>
        </w:tc>
        <w:tc>
          <w:tcPr>
            <w:tcW w:type="dxa" w:w="1008"/>
            <w:shd w:val="clear" w:color="auto" w:fill="EDEDED"/>
            <w:vAlign w:val="top"/>
          </w:tcPr>
          <w:p>
            <w:r/>
            <w:r>
              <w:rPr>
                <w:rFonts w:ascii="Arial" w:hAnsi="Arial"/>
                <w:sz w:val="20"/>
              </w:rPr>
              <w:t>MEDIUM</w:t>
            </w:r>
          </w:p>
        </w:tc>
        <w:tc>
          <w:tcPr>
            <w:tcW w:type="dxa" w:w="1296"/>
            <w:shd w:val="clear" w:color="auto" w:fill="EDEDED"/>
            <w:vAlign w:val="top"/>
          </w:tcPr>
          <w:p>
            <w:r/>
            <w:r>
              <w:rPr>
                <w:rFonts w:ascii="Arial" w:hAnsi="Arial"/>
                <w:sz w:val="20"/>
              </w:rPr>
              <w:t>Yes</w:t>
            </w:r>
          </w:p>
        </w:tc>
        <w:tc>
          <w:tcPr>
            <w:tcW w:type="dxa" w:w="3456"/>
            <w:shd w:val="clear" w:color="auto" w:fill="EDEDED"/>
            <w:vAlign w:val="top"/>
          </w:tcPr>
          <w:p>
            <w:r/>
            <w:r>
              <w:rPr>
                <w:rFonts w:ascii="Arial" w:hAnsi="Arial"/>
                <w:sz w:val="20"/>
              </w:rPr>
              <w:t>Routing rationale visible in case detail; FR-016 disambiguation modal designed in Phase 2; routing reasons logged in Case_Activity_Log.</w:t>
            </w:r>
          </w:p>
        </w:tc>
      </w:tr>
      <w:tr>
        <w:tc>
          <w:tcPr>
            <w:tcW w:type="dxa" w:w="720"/>
            <w:vAlign w:val="top"/>
          </w:tcPr>
          <w:p>
            <w:r/>
            <w:r>
              <w:rPr>
                <w:rFonts w:ascii="Arial" w:hAnsi="Arial"/>
                <w:sz w:val="20"/>
              </w:rPr>
              <w:t>R15</w:t>
            </w:r>
          </w:p>
        </w:tc>
        <w:tc>
          <w:tcPr>
            <w:tcW w:type="dxa" w:w="3600"/>
            <w:vAlign w:val="top"/>
          </w:tcPr>
          <w:p>
            <w:r/>
            <w:r>
              <w:rPr>
                <w:rFonts w:ascii="Arial" w:hAnsi="Arial"/>
                <w:sz w:val="20"/>
              </w:rPr>
              <w:t>BRD §1.6 calibrated curve missed for two consecutive months</w:t>
            </w:r>
          </w:p>
        </w:tc>
        <w:tc>
          <w:tcPr>
            <w:tcW w:type="dxa" w:w="1008"/>
            <w:vAlign w:val="top"/>
          </w:tcPr>
          <w:p>
            <w:r/>
            <w:r>
              <w:rPr>
                <w:rFonts w:ascii="Arial" w:hAnsi="Arial"/>
                <w:sz w:val="20"/>
              </w:rPr>
              <w:t>MEDIUM</w:t>
            </w:r>
          </w:p>
        </w:tc>
        <w:tc>
          <w:tcPr>
            <w:tcW w:type="dxa" w:w="1296"/>
            <w:vAlign w:val="top"/>
          </w:tcPr>
          <w:p>
            <w:r/>
            <w:r>
              <w:rPr>
                <w:rFonts w:ascii="Arial" w:hAnsi="Arial"/>
                <w:sz w:val="20"/>
              </w:rPr>
              <w:t>Inherited from BRD</w:t>
            </w:r>
          </w:p>
        </w:tc>
        <w:tc>
          <w:tcPr>
            <w:tcW w:type="dxa" w:w="3456"/>
            <w:vAlign w:val="top"/>
          </w:tcPr>
          <w:p>
            <w:r/>
            <w:r>
              <w:rPr>
                <w:rFonts w:ascii="Arial" w:hAnsi="Arial"/>
                <w:sz w:val="20"/>
              </w:rPr>
              <w:t>Triggers structured review per BRD §1.6 (model retraining, prompt iteration, label-quality audit); reported weekly.</w:t>
            </w:r>
          </w:p>
        </w:tc>
      </w:tr>
      <w:tr>
        <w:tc>
          <w:tcPr>
            <w:tcW w:type="dxa" w:w="720"/>
            <w:shd w:val="clear" w:color="auto" w:fill="EDEDED"/>
            <w:vAlign w:val="top"/>
          </w:tcPr>
          <w:p>
            <w:r/>
            <w:r>
              <w:rPr>
                <w:rFonts w:ascii="Arial" w:hAnsi="Arial"/>
                <w:sz w:val="20"/>
              </w:rPr>
              <w:t>R16</w:t>
            </w:r>
          </w:p>
        </w:tc>
        <w:tc>
          <w:tcPr>
            <w:tcW w:type="dxa" w:w="3600"/>
            <w:shd w:val="clear" w:color="auto" w:fill="EDEDED"/>
            <w:vAlign w:val="top"/>
          </w:tcPr>
          <w:p>
            <w:r/>
            <w:r>
              <w:rPr>
                <w:rFonts w:ascii="Arial" w:hAnsi="Arial"/>
                <w:sz w:val="20"/>
              </w:rPr>
              <w:t>PII leakage via LLM prompts to non-Indian region</w:t>
            </w:r>
          </w:p>
        </w:tc>
        <w:tc>
          <w:tcPr>
            <w:tcW w:type="dxa" w:w="1008"/>
            <w:shd w:val="clear" w:color="auto" w:fill="EDEDED"/>
            <w:vAlign w:val="top"/>
          </w:tcPr>
          <w:p>
            <w:r/>
            <w:r>
              <w:rPr>
                <w:rFonts w:ascii="Arial" w:hAnsi="Arial"/>
                <w:sz w:val="20"/>
              </w:rPr>
              <w:t>HIGH</w:t>
            </w:r>
          </w:p>
        </w:tc>
        <w:tc>
          <w:tcPr>
            <w:tcW w:type="dxa" w:w="1296"/>
            <w:shd w:val="clear" w:color="auto" w:fill="EDEDED"/>
            <w:vAlign w:val="top"/>
          </w:tcPr>
          <w:p>
            <w:r/>
            <w:r>
              <w:rPr>
                <w:rFonts w:ascii="Arial" w:hAnsi="Arial"/>
                <w:sz w:val="20"/>
              </w:rPr>
              <w:t>Inherited from BRD</w:t>
            </w:r>
          </w:p>
        </w:tc>
        <w:tc>
          <w:tcPr>
            <w:tcW w:type="dxa" w:w="3456"/>
            <w:shd w:val="clear" w:color="auto" w:fill="EDEDED"/>
            <w:vAlign w:val="top"/>
          </w:tcPr>
          <w:p>
            <w:r/>
            <w:r>
              <w:rPr>
                <w:rFonts w:ascii="Arial" w:hAnsi="Arial"/>
                <w:sz w:val="20"/>
              </w:rPr>
              <w:t>FR-010 / FR-121 / FR-123 enforcement; prompts to in-region tenant only; PII redaction lint pre-send (FR-053).</w:t>
            </w:r>
          </w:p>
        </w:tc>
      </w:tr>
      <w:tr>
        <w:tc>
          <w:tcPr>
            <w:tcW w:type="dxa" w:w="720"/>
            <w:vAlign w:val="top"/>
          </w:tcPr>
          <w:p>
            <w:r/>
            <w:r>
              <w:rPr>
                <w:rFonts w:ascii="Arial" w:hAnsi="Arial"/>
                <w:sz w:val="20"/>
              </w:rPr>
              <w:t>R17</w:t>
            </w:r>
          </w:p>
        </w:tc>
        <w:tc>
          <w:tcPr>
            <w:tcW w:type="dxa" w:w="3600"/>
            <w:vAlign w:val="top"/>
          </w:tcPr>
          <w:p>
            <w:r/>
            <w:r>
              <w:rPr>
                <w:rFonts w:ascii="Arial" w:hAnsi="Arial"/>
                <w:sz w:val="20"/>
              </w:rPr>
              <w:t>Bulk operations on &gt;100 cases produce audit-log gaps</w:t>
            </w:r>
          </w:p>
        </w:tc>
        <w:tc>
          <w:tcPr>
            <w:tcW w:type="dxa" w:w="1008"/>
            <w:vAlign w:val="top"/>
          </w:tcPr>
          <w:p>
            <w:r/>
            <w:r>
              <w:rPr>
                <w:rFonts w:ascii="Arial" w:hAnsi="Arial"/>
                <w:sz w:val="20"/>
              </w:rPr>
              <w:t>LOW</w:t>
            </w:r>
          </w:p>
        </w:tc>
        <w:tc>
          <w:tcPr>
            <w:tcW w:type="dxa" w:w="1296"/>
            <w:vAlign w:val="top"/>
          </w:tcPr>
          <w:p>
            <w:r/>
            <w:r>
              <w:rPr>
                <w:rFonts w:ascii="Arial" w:hAnsi="Arial"/>
                <w:sz w:val="20"/>
              </w:rPr>
              <w:t>Yes (in plan)</w:t>
            </w:r>
          </w:p>
        </w:tc>
        <w:tc>
          <w:tcPr>
            <w:tcW w:type="dxa" w:w="3456"/>
            <w:vAlign w:val="top"/>
          </w:tcPr>
          <w:p>
            <w:r/>
            <w:r>
              <w:rPr>
                <w:rFonts w:ascii="Arial" w:hAnsi="Arial"/>
                <w:sz w:val="20"/>
              </w:rPr>
              <w:t>Plan's audit work logs each bulk action as N individual entries per BRD FR-035 A2.</w:t>
            </w:r>
          </w:p>
        </w:tc>
      </w:tr>
      <w:tr>
        <w:tc>
          <w:tcPr>
            <w:tcW w:type="dxa" w:w="720"/>
            <w:shd w:val="clear" w:color="auto" w:fill="EDEDED"/>
            <w:vAlign w:val="top"/>
          </w:tcPr>
          <w:p>
            <w:r/>
            <w:r>
              <w:rPr>
                <w:rFonts w:ascii="Arial" w:hAnsi="Arial"/>
                <w:sz w:val="20"/>
              </w:rPr>
              <w:t>R18</w:t>
            </w:r>
          </w:p>
        </w:tc>
        <w:tc>
          <w:tcPr>
            <w:tcW w:type="dxa" w:w="3600"/>
            <w:shd w:val="clear" w:color="auto" w:fill="EDEDED"/>
            <w:vAlign w:val="top"/>
          </w:tcPr>
          <w:p>
            <w:r/>
            <w:r>
              <w:rPr>
                <w:rFonts w:ascii="Arial" w:hAnsi="Arial"/>
                <w:sz w:val="20"/>
              </w:rPr>
              <w:t>OOO delegate also OOO: routing falls through</w:t>
            </w:r>
          </w:p>
        </w:tc>
        <w:tc>
          <w:tcPr>
            <w:tcW w:type="dxa" w:w="1008"/>
            <w:shd w:val="clear" w:color="auto" w:fill="EDEDED"/>
            <w:vAlign w:val="top"/>
          </w:tcPr>
          <w:p>
            <w:r/>
            <w:r>
              <w:rPr>
                <w:rFonts w:ascii="Arial" w:hAnsi="Arial"/>
                <w:sz w:val="20"/>
              </w:rPr>
              <w:t>LOW</w:t>
            </w:r>
          </w:p>
        </w:tc>
        <w:tc>
          <w:tcPr>
            <w:tcW w:type="dxa" w:w="1296"/>
            <w:shd w:val="clear" w:color="auto" w:fill="EDEDED"/>
            <w:vAlign w:val="top"/>
          </w:tcPr>
          <w:p>
            <w:r/>
            <w:r>
              <w:rPr>
                <w:rFonts w:ascii="Arial" w:hAnsi="Arial"/>
                <w:sz w:val="20"/>
              </w:rPr>
              <w:t>Inherited from BRD</w:t>
            </w:r>
          </w:p>
        </w:tc>
        <w:tc>
          <w:tcPr>
            <w:tcW w:type="dxa" w:w="3456"/>
            <w:shd w:val="clear" w:color="auto" w:fill="EDEDED"/>
            <w:vAlign w:val="top"/>
          </w:tcPr>
          <w:p>
            <w:r/>
            <w:r>
              <w:rPr>
                <w:rFonts w:ascii="Arial" w:hAnsi="Arial"/>
                <w:sz w:val="20"/>
              </w:rPr>
              <w:t>BRD FR-031 A2: escalate to FPR Supervisor and place case in Manual Routing queue.</w:t>
            </w:r>
          </w:p>
        </w:tc>
      </w:tr>
    </w:tbl>
    <w:p>
      <w:r>
        <w:br w:type="page"/>
      </w:r>
    </w:p>
    <w:p>
      <w:pPr>
        <w:pStyle w:val="Heading1"/>
        <w:keepNext/>
        <w:spacing w:before="280" w:after="120"/>
      </w:pPr>
      <w:r>
        <w:rPr>
          <w:rFonts w:ascii="Arial" w:hAnsi="Arial"/>
          <w:b/>
          <w:color w:val="1B3A5C"/>
          <w:sz w:val="36"/>
        </w:rPr>
        <w:t>6. Recommendations</w:t>
      </w:r>
    </w:p>
    <w:p>
      <w:pPr>
        <w:spacing w:after="120" w:line="276" w:lineRule="auto"/>
      </w:pPr>
      <w:r>
        <w:rPr>
          <w:rFonts w:ascii="Arial" w:hAnsi="Arial"/>
          <w:b w:val="0"/>
          <w:i w:val="0"/>
          <w:color w:val="000000"/>
          <w:sz w:val="22"/>
        </w:rPr>
        <w:t>If the recommendation to PROCEED is accepted, the following concrete next steps should be executed in order. These are not new work; they are the operational consequence of adopting the plan-as-modified.</w:t>
      </w:r>
    </w:p>
    <w:p>
      <w:pPr>
        <w:pStyle w:val="Heading2"/>
        <w:keepNext/>
        <w:spacing w:before="280" w:after="120"/>
      </w:pPr>
      <w:r>
        <w:rPr>
          <w:rFonts w:ascii="Arial" w:hAnsi="Arial"/>
          <w:b/>
          <w:color w:val="1B3A5C"/>
          <w:sz w:val="28"/>
        </w:rPr>
        <w:t>Immediate (this week)</w:t>
      </w:r>
    </w:p>
    <w:p>
      <w:pPr>
        <w:spacing w:after="120" w:line="276" w:lineRule="auto"/>
      </w:pPr>
      <w:r>
        <w:rPr>
          <w:rFonts w:ascii="Arial" w:hAnsi="Arial"/>
          <w:b w:val="0"/>
          <w:i w:val="0"/>
          <w:color w:val="000000"/>
          <w:sz w:val="22"/>
        </w:rPr>
        <w:t>Reissue the gap remediation plan as v1.1 incorporating the five named modifications from this evaluation. Communicate the revised 17–19 week elapsed calendar to the client steering committee. Schedule the Phase 0 + Phase 0.5 kickoff. Identify the client-side LMS master-data steward (primary + backup) and obtain written commitment for 50% time across four weeks. Pre-select the third-party AI auditor candidates per BRD §12.7.</w:t>
      </w:r>
    </w:p>
    <w:p>
      <w:pPr>
        <w:pStyle w:val="Heading2"/>
        <w:keepNext/>
        <w:spacing w:before="280" w:after="120"/>
      </w:pPr>
      <w:r>
        <w:rPr>
          <w:rFonts w:ascii="Arial" w:hAnsi="Arial"/>
          <w:b/>
          <w:color w:val="1B3A5C"/>
          <w:sz w:val="28"/>
        </w:rPr>
        <w:t>Phase 0 + Phase 0.5 (parallel, 4 weeks elapsed)</w:t>
      </w:r>
    </w:p>
    <w:p>
      <w:pPr>
        <w:spacing w:after="120" w:line="276" w:lineRule="auto"/>
      </w:pPr>
      <w:r>
        <w:rPr>
          <w:rFonts w:ascii="Arial" w:hAnsi="Arial"/>
          <w:b w:val="0"/>
          <w:i w:val="0"/>
          <w:color w:val="000000"/>
          <w:sz w:val="22"/>
        </w:rPr>
        <w:t>Phase 0 stabilises the baseline: pnpm build/test as meaningful gates, frontend smoke tests or intentional pass-with-no-tests configuration, README documentation of demo credentials and known mock paths, environment flags for any retained mock behaviour, and issue-tracker labels mapping to remediation phases.</w:t>
      </w:r>
    </w:p>
    <w:p>
      <w:pPr>
        <w:spacing w:after="120" w:line="276" w:lineRule="auto"/>
      </w:pPr>
      <w:r>
        <w:rPr>
          <w:rFonts w:ascii="Arial" w:hAnsi="Arial"/>
          <w:b w:val="0"/>
          <w:i w:val="0"/>
          <w:color w:val="000000"/>
          <w:sz w:val="22"/>
        </w:rPr>
        <w:t>Phase 0.5 cleans up master data per BRD §4.0 (canonical_form / source_forms on loan_account_no, branch_code, vendor_code, FPR employee_code, PIN code, case_type code, validated against ≥98% lookup-success-rate on a sample of 1,000 historical emails), generates the FR-129 synthetic email corpus (~5,000 emails matching historical distribution, signed and versioned, stored in a non-production object bucket), and pre-selects the third-party AI auditor.</w:t>
      </w:r>
    </w:p>
    <w:p>
      <w:pPr>
        <w:pStyle w:val="Heading2"/>
        <w:keepNext/>
        <w:spacing w:before="280" w:after="120"/>
      </w:pPr>
      <w:r>
        <w:rPr>
          <w:rFonts w:ascii="Arial" w:hAnsi="Arial"/>
          <w:b/>
          <w:color w:val="1B3A5C"/>
          <w:sz w:val="28"/>
        </w:rPr>
        <w:t>Phase 1 (3 weeks)</w:t>
      </w:r>
    </w:p>
    <w:p>
      <w:pPr>
        <w:spacing w:after="120" w:line="276" w:lineRule="auto"/>
      </w:pPr>
      <w:r>
        <w:rPr>
          <w:rFonts w:ascii="Arial" w:hAnsi="Arial"/>
          <w:b w:val="0"/>
          <w:i w:val="0"/>
          <w:color w:val="000000"/>
          <w:sz w:val="22"/>
        </w:rPr>
        <w:t>Build the vertical slice: case APIs (GET/POST/PATCH on /v1/cases), fixture email ingestion API (POST /v1/email-ingest/fixtures), ingest-to-case orchestrator service, classification persistence, case list/detail React Query integration, live dashboard aggregates from backend, audit entries with hash-chain anchoring, FR-016 master-backed validation gate using the Phase 0.5 cleaned masters, Human Accountability banner non-dismissable on case detail and triage screens, accountable_officer_id and ai_confidence on every Case_Activity_Log row, LLM_ENABLED toggle (ON/DEGRADED/OFF) with threshold-change behaviour and visible mode banner, and Vitest frontend smoke tests.</w:t>
      </w:r>
    </w:p>
    <w:p>
      <w:pPr>
        <w:pStyle w:val="Heading2"/>
        <w:keepNext/>
        <w:spacing w:before="280" w:after="120"/>
      </w:pPr>
      <w:r>
        <w:rPr>
          <w:rFonts w:ascii="Arial" w:hAnsi="Arial"/>
          <w:b/>
          <w:color w:val="1B3A5C"/>
          <w:sz w:val="28"/>
        </w:rPr>
        <w:t>Phase 2 (2 weeks)</w:t>
      </w:r>
    </w:p>
    <w:p>
      <w:pPr>
        <w:spacing w:after="120" w:line="276" w:lineRule="auto"/>
      </w:pPr>
      <w:r>
        <w:rPr>
          <w:rFonts w:ascii="Arial" w:hAnsi="Arial"/>
          <w:b w:val="0"/>
          <w:i w:val="0"/>
          <w:color w:val="000000"/>
          <w:sz w:val="22"/>
        </w:rPr>
        <w:t>Master-backed routing per FR-031, triage queue per FR-015 / FR-016, officer confirm/correct actions feeding labelled training data per FR-132, business-hours/holiday-aware TAT per FR-060, SLA scheduler per FR-061, FR-016 fuzzy-match disambiguation modal, collateral-intelligence schema columns added as nullable (collateral risk flags, vendor quality dimensions, document completeness, disbursal blocker category, valuation variance, rework counter), production-classifier model-class architecture decision with MLOps + Compliance sign-off per FR-130.</w:t>
      </w:r>
    </w:p>
    <w:p>
      <w:pPr>
        <w:pStyle w:val="Heading2"/>
        <w:keepNext/>
        <w:spacing w:before="280" w:after="120"/>
      </w:pPr>
      <w:r>
        <w:rPr>
          <w:rFonts w:ascii="Arial" w:hAnsi="Arial"/>
          <w:b/>
          <w:color w:val="1B3A5C"/>
          <w:sz w:val="28"/>
        </w:rPr>
        <w:t>Phase 3 (4 weeks)</w:t>
      </w:r>
    </w:p>
    <w:p>
      <w:pPr>
        <w:spacing w:after="120" w:line="276" w:lineRule="auto"/>
      </w:pPr>
      <w:r>
        <w:rPr>
          <w:rFonts w:ascii="Arial" w:hAnsi="Arial"/>
          <w:b w:val="0"/>
          <w:i w:val="0"/>
          <w:color w:val="000000"/>
          <w:sz w:val="22"/>
        </w:rPr>
        <w:t>AUTH_MODE flag with dev-only local login, OIDC against client IdP (Azure AD / Okta) per FR-125, httpOnly secure cookies or backend-for-frontend session pattern (no tokens in localStorage), persisted users and roles in the database, MFA enforcement on SysAdmin / MDA / Compliance / Head per FR-125, RBAC + ABAC region filtering on case and master endpoints per FR-124, PII redaction at write-time on logs / audit / LLM prompts per FR-123 with representative-payload tests, compliance UI for audit search / DSR tracking / consent lookup / evidence-pack generation per FR-114 / FR-120.</w:t>
      </w:r>
    </w:p>
    <w:p>
      <w:pPr>
        <w:pStyle w:val="Heading2"/>
        <w:keepNext/>
        <w:spacing w:before="280" w:after="120"/>
      </w:pPr>
      <w:r>
        <w:rPr>
          <w:rFonts w:ascii="Arial" w:hAnsi="Arial"/>
          <w:b/>
          <w:color w:val="1B3A5C"/>
          <w:sz w:val="28"/>
        </w:rPr>
        <w:t>Phase 4 (4 weeks)</w:t>
      </w:r>
    </w:p>
    <w:p>
      <w:pPr>
        <w:spacing w:after="120" w:line="276" w:lineRule="auto"/>
      </w:pPr>
      <w:r>
        <w:rPr>
          <w:rFonts w:ascii="Arial" w:hAnsi="Arial"/>
          <w:b w:val="0"/>
          <w:i w:val="0"/>
          <w:color w:val="000000"/>
          <w:sz w:val="22"/>
        </w:rPr>
        <w:t>Microsoft Graph + Gmail parallel ingestion with Message-ID de-duplication in the orchestrator from day one per FR-001 / FR-155, outbound SMTP failover between providers per FR-155 A4, attachment extraction per FR-020, object-storage persistence with KMS-managed keys per FR-122, AV scanning per FR-002, OCR per FR-021, document-type classification per FR-022, structured-field extraction per FR-023, DMS hand-off per FR-024, FR-155 quarterly failover drill playbook.</w:t>
      </w:r>
    </w:p>
    <w:p>
      <w:pPr>
        <w:pStyle w:val="Heading2"/>
        <w:keepNext/>
        <w:spacing w:before="280" w:after="120"/>
      </w:pPr>
      <w:r>
        <w:rPr>
          <w:rFonts w:ascii="Arial" w:hAnsi="Arial"/>
          <w:b/>
          <w:color w:val="1B3A5C"/>
          <w:sz w:val="28"/>
        </w:rPr>
        <w:t>Phase 5 (2 weeks initial, ongoing)</w:t>
      </w:r>
    </w:p>
    <w:p>
      <w:pPr>
        <w:spacing w:after="120" w:line="276" w:lineRule="auto"/>
      </w:pPr>
      <w:r>
        <w:rPr>
          <w:rFonts w:ascii="Arial" w:hAnsi="Arial"/>
          <w:b w:val="0"/>
          <w:i w:val="0"/>
          <w:color w:val="000000"/>
          <w:sz w:val="22"/>
        </w:rPr>
        <w:t>Distilled-classifier tuning to support FR-128 OFF-mode ≥80% accuracy floor, regex/dictionary NER fallback paths, outbound footer change in OFF mode, LLM-off quarterly drill playbook, model registry per FR-130, drift monitoring per FR-131, calibrated-curve weekly reporting per BRD §1.6, model promotion / rollback criteria, bias and fairness checks per FR-134.</w:t>
      </w:r>
    </w:p>
    <w:p>
      <w:pPr>
        <w:pStyle w:val="Heading2"/>
        <w:keepNext/>
        <w:spacing w:before="280" w:after="120"/>
      </w:pPr>
      <w:r>
        <w:rPr>
          <w:rFonts w:ascii="Arial" w:hAnsi="Arial"/>
          <w:b/>
          <w:color w:val="1B3A5C"/>
          <w:sz w:val="28"/>
        </w:rPr>
        <w:t>Phase 6 (v1.0+)</w:t>
      </w:r>
    </w:p>
    <w:p>
      <w:pPr>
        <w:spacing w:after="120" w:line="276" w:lineRule="auto"/>
      </w:pPr>
      <w:r>
        <w:rPr>
          <w:rFonts w:ascii="Arial" w:hAnsi="Arial"/>
          <w:b w:val="0"/>
          <w:i w:val="0"/>
          <w:color w:val="000000"/>
          <w:sz w:val="22"/>
        </w:rPr>
        <w:t>Surface the collateral-intelligence schema columns added in Phase 2 in officer-facing UI: Vendor Quality 360 (TAT + quality + rework + variance), Disbursal Readiness Command Center, Field Visit Evidence Pack, valuation variance and rework tracking, title-risk and property-risk scoring, external-registry connector planning, portfolio-level collateral risk dashboard.</w:t>
      </w:r>
    </w:p>
    <w:p>
      <w:pPr>
        <w:pStyle w:val="Heading2"/>
        <w:keepNext/>
        <w:spacing w:before="280" w:after="120"/>
      </w:pPr>
      <w:r>
        <w:rPr>
          <w:rFonts w:ascii="Arial" w:hAnsi="Arial"/>
          <w:b/>
          <w:color w:val="1B3A5C"/>
          <w:sz w:val="28"/>
        </w:rPr>
        <w:t>Standing items (continuous)</w:t>
      </w:r>
    </w:p>
    <w:p>
      <w:pPr>
        <w:spacing w:after="120" w:line="276" w:lineRule="auto"/>
      </w:pPr>
      <w:r>
        <w:rPr>
          <w:rFonts w:ascii="Arial" w:hAnsi="Arial"/>
          <w:b w:val="0"/>
          <w:i w:val="0"/>
          <w:color w:val="000000"/>
          <w:sz w:val="22"/>
        </w:rPr>
        <w:t>Maintain the requirement traceability matrix per Section 7 of the remediation plan with Status values progressing Not Started → Schema Only → Service Partial → API Exposed → UI Exposed → Tested → Accepted. Watch the three re-evaluation triggers (Phase 1 demonstrability by week 5; classifier benchmark ≥70% top-1 by Phase 5 entrance; West-India pilot go/no-go gate). Run the BRD §1.6 calibrated-curve weekly report from Phase 1 onward. Keep the Section 8 risks of the remediation plan and the eighteen risks of this evaluation document under joint steering-committee review.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