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48"/>
        </w:rPr>
        <w:t>TrustOMS Philippines</w:t>
        <w:br/>
        <w:t>BDO RFI Gap — Functional Test Cases</w:t>
      </w:r>
    </w:p>
    <w:p>
      <w:pPr>
        <w:jc w:val="center"/>
      </w:pPr>
      <w:r>
        <w:rPr>
          <w:color w:val="555555"/>
          <w:sz w:val="28"/>
        </w:rPr>
        <w:t>Supplement to BRD v1.0-FINAL Test Suite</w:t>
        <w:br/>
        <w:t>Covering 9 Gap Categories from BDO RFI Analysis</w:t>
      </w:r>
    </w:p>
    <w:p>
      <w:pPr>
        <w:jc w:val="center"/>
      </w:pPr>
      <w:r>
        <w:rPr>
          <w:sz w:val="22"/>
        </w:rPr>
        <w:br/>
        <w:t>Project: TrustOMS Philippines</w:t>
        <w:br/>
        <w:t>Author: ADS Softek</w:t>
        <w:br/>
        <w:t>Date: 18 April 2026</w:t>
        <w:br/>
        <w:t>Version: 1.1 (Gap Supplement)</w:t>
        <w:br/>
        <w:t>Classification: CONFIDENTIAL</w:t>
      </w:r>
    </w:p>
    <w:p>
      <w:r>
        <w:br w:type="page"/>
      </w:r>
    </w:p>
    <w:p>
      <w:pPr>
        <w:pStyle w:val="Heading1"/>
      </w:pPr>
      <w:r>
        <w:t>1. Gap Test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Gap Test Cases (Total)</w:t>
            </w:r>
          </w:p>
        </w:tc>
        <w:tc>
          <w:tcPr>
            <w:tcW w:type="dxa" w:w="4320"/>
          </w:tcPr>
          <w:p>
            <w:r>
              <w:t>252</w:t>
            </w:r>
          </w:p>
        </w:tc>
      </w:tr>
      <w:tr>
        <w:tc>
          <w:tcPr>
            <w:tcW w:type="dxa" w:w="4320"/>
          </w:tcPr>
          <w:p>
            <w:r>
              <w:t>Gap FRs Covered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Happy-Path Tests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Negative / Error Tests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Boundary Tests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Workflow / State Tests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Permission / Authorization Tests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Integration / E2E Tests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Process-Flow Traversal Tests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Critical Priority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High Priority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Medium Priority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Low Priority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/>
    <w:p>
      <w:pPr>
        <w:pStyle w:val="Heading1"/>
      </w:pPr>
      <w:r>
        <w:t>2. Gap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ID Range</w:t>
            </w:r>
          </w:p>
        </w:tc>
      </w:tr>
      <w:tr>
        <w:tc>
          <w:tcPr>
            <w:tcW w:type="dxa" w:w="2880"/>
          </w:tcPr>
          <w:p>
            <w:r>
              <w:t>FR-GAP-OTF-001..006</w:t>
            </w:r>
          </w:p>
        </w:tc>
        <w:tc>
          <w:tcPr>
            <w:tcW w:type="dxa" w:w="2880"/>
          </w:tcPr>
          <w:p>
            <w:r>
              <w:t>Order Type &amp; TIF</w:t>
            </w:r>
          </w:p>
        </w:tc>
        <w:tc>
          <w:tcPr>
            <w:tcW w:type="dxa" w:w="2880"/>
          </w:tcPr>
          <w:p>
            <w:r>
              <w:t>TC-GAP-OTF001-01..TC-GAP-OTF006-02</w:t>
            </w:r>
          </w:p>
        </w:tc>
      </w:tr>
      <w:tr>
        <w:tc>
          <w:tcPr>
            <w:tcW w:type="dxa" w:w="2880"/>
          </w:tcPr>
          <w:p>
            <w:r>
              <w:t>FR-GAP-OML-001..008</w:t>
            </w:r>
          </w:p>
        </w:tc>
        <w:tc>
          <w:tcPr>
            <w:tcW w:type="dxa" w:w="2880"/>
          </w:tcPr>
          <w:p>
            <w:r>
              <w:t>Order Maintenance</w:t>
            </w:r>
          </w:p>
        </w:tc>
        <w:tc>
          <w:tcPr>
            <w:tcW w:type="dxa" w:w="2880"/>
          </w:tcPr>
          <w:p>
            <w:r>
              <w:t>TC-GAP-OML001-01..TC-GAP-OML008-03</w:t>
            </w:r>
          </w:p>
        </w:tc>
      </w:tr>
      <w:tr>
        <w:tc>
          <w:tcPr>
            <w:tcW w:type="dxa" w:w="2880"/>
          </w:tcPr>
          <w:p>
            <w:r>
              <w:t>FR-GAP-EAF-001..008</w:t>
            </w:r>
          </w:p>
        </w:tc>
        <w:tc>
          <w:tcPr>
            <w:tcW w:type="dxa" w:w="2880"/>
          </w:tcPr>
          <w:p>
            <w:r>
              <w:t>Execution &amp; Allocation</w:t>
            </w:r>
          </w:p>
        </w:tc>
        <w:tc>
          <w:tcPr>
            <w:tcW w:type="dxa" w:w="2880"/>
          </w:tcPr>
          <w:p>
            <w:r>
              <w:t>TC-GAP-EAF001-01..TC-GAP-EAF008-02</w:t>
            </w:r>
          </w:p>
        </w:tc>
      </w:tr>
      <w:tr>
        <w:tc>
          <w:tcPr>
            <w:tcW w:type="dxa" w:w="2880"/>
          </w:tcPr>
          <w:p>
            <w:r>
              <w:t>FR-GAP-VAL-001..017</w:t>
            </w:r>
          </w:p>
        </w:tc>
        <w:tc>
          <w:tcPr>
            <w:tcW w:type="dxa" w:w="2880"/>
          </w:tcPr>
          <w:p>
            <w:r>
              <w:t>Validation &amp; Compliance</w:t>
            </w:r>
          </w:p>
        </w:tc>
        <w:tc>
          <w:tcPr>
            <w:tcW w:type="dxa" w:w="2880"/>
          </w:tcPr>
          <w:p>
            <w:r>
              <w:t>TC-GAP-VAL001-01..TC-GAP-VAL017-02</w:t>
            </w:r>
          </w:p>
        </w:tc>
      </w:tr>
      <w:tr>
        <w:tc>
          <w:tcPr>
            <w:tcW w:type="dxa" w:w="2880"/>
          </w:tcPr>
          <w:p>
            <w:r>
              <w:t>FR-GAP-PMR-001..009</w:t>
            </w:r>
          </w:p>
        </w:tc>
        <w:tc>
          <w:tcPr>
            <w:tcW w:type="dxa" w:w="2880"/>
          </w:tcPr>
          <w:p>
            <w:r>
              <w:t>Portfolio Modeling</w:t>
            </w:r>
          </w:p>
        </w:tc>
        <w:tc>
          <w:tcPr>
            <w:tcW w:type="dxa" w:w="2880"/>
          </w:tcPr>
          <w:p>
            <w:r>
              <w:t>TC-GAP-PMR001-01..TC-GAP-PMR009-02</w:t>
            </w:r>
          </w:p>
        </w:tc>
      </w:tr>
      <w:tr>
        <w:tc>
          <w:tcPr>
            <w:tcW w:type="dxa" w:w="2880"/>
          </w:tcPr>
          <w:p>
            <w:r>
              <w:t>FR-GAP-RSK-001..009</w:t>
            </w:r>
          </w:p>
        </w:tc>
        <w:tc>
          <w:tcPr>
            <w:tcW w:type="dxa" w:w="2880"/>
          </w:tcPr>
          <w:p>
            <w:r>
              <w:t>Risk &amp; Asset Mgmt</w:t>
            </w:r>
          </w:p>
        </w:tc>
        <w:tc>
          <w:tcPr>
            <w:tcW w:type="dxa" w:w="2880"/>
          </w:tcPr>
          <w:p>
            <w:r>
              <w:t>TC-GAP-RSK001-01..TC-GAP-RSK009-02</w:t>
            </w:r>
          </w:p>
        </w:tc>
      </w:tr>
      <w:tr>
        <w:tc>
          <w:tcPr>
            <w:tcW w:type="dxa" w:w="2880"/>
          </w:tcPr>
          <w:p>
            <w:r>
              <w:t>FR-GAP-CHL-001..010</w:t>
            </w:r>
          </w:p>
        </w:tc>
        <w:tc>
          <w:tcPr>
            <w:tcW w:type="dxa" w:w="2880"/>
          </w:tcPr>
          <w:p>
            <w:r>
              <w:t>Channel &amp; Portal</w:t>
            </w:r>
          </w:p>
        </w:tc>
        <w:tc>
          <w:tcPr>
            <w:tcW w:type="dxa" w:w="2880"/>
          </w:tcPr>
          <w:p>
            <w:r>
              <w:t>TC-GAP-CHL001-01..TC-GAP-CHL010-02</w:t>
            </w:r>
          </w:p>
        </w:tc>
      </w:tr>
      <w:tr>
        <w:tc>
          <w:tcPr>
            <w:tcW w:type="dxa" w:w="2880"/>
          </w:tcPr>
          <w:p>
            <w:r>
              <w:t>FR-GAP-CPS-001..009</w:t>
            </w:r>
          </w:p>
        </w:tc>
        <w:tc>
          <w:tcPr>
            <w:tcW w:type="dxa" w:w="2880"/>
          </w:tcPr>
          <w:p>
            <w:r>
              <w:t>Cash/Payment/Settlement</w:t>
            </w:r>
          </w:p>
        </w:tc>
        <w:tc>
          <w:tcPr>
            <w:tcW w:type="dxa" w:w="2880"/>
          </w:tcPr>
          <w:p>
            <w:r>
              <w:t>TC-GAP-CPS001-01..TC-GAP-CPS009-02</w:t>
            </w:r>
          </w:p>
        </w:tc>
      </w:tr>
      <w:tr>
        <w:tc>
          <w:tcPr>
            <w:tcW w:type="dxa" w:w="2880"/>
          </w:tcPr>
          <w:p>
            <w:r>
              <w:t>FR-GAP-SRP-001..009</w:t>
            </w:r>
          </w:p>
        </w:tc>
        <w:tc>
          <w:tcPr>
            <w:tcW w:type="dxa" w:w="2880"/>
          </w:tcPr>
          <w:p>
            <w:r>
              <w:t>Scheduled &amp; Retirement</w:t>
            </w:r>
          </w:p>
        </w:tc>
        <w:tc>
          <w:tcPr>
            <w:tcW w:type="dxa" w:w="2880"/>
          </w:tcPr>
          <w:p>
            <w:r>
              <w:t>TC-GAP-SRP001-01..TC-GAP-SRP009-02</w:t>
            </w:r>
          </w:p>
        </w:tc>
      </w:tr>
    </w:tbl>
    <w:p>
      <w:r>
        <w:br w:type="page"/>
      </w:r>
    </w:p>
    <w:p>
      <w:pPr>
        <w:pStyle w:val="Heading1"/>
      </w:pPr>
      <w:r>
        <w:t>3. Order Type &amp; Time-in-Force (FR-GAP-OTF)</w:t>
      </w:r>
    </w:p>
    <w:p>
      <w:pPr>
        <w:pStyle w:val="Heading3"/>
      </w:pPr>
      <w:r>
        <w:t>TC-GAP-OTF001-01 — RM captures MARKET order without limit price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TC-GAP-OTF001-01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RM captures MARKET order without limit price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Client CL-000123 active; PORT-00045 active; PSE market open.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New Order → PORT-00045. 2. Side=BUY; ISIN=PHY7225E1116; qty=10000; order_type=MARKET. 3. Verify price field disabled. 4.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order_type=MARKET; qty=10000; ISIN=PHY7225E1116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created with order_type=MARKET; no limit_price stored; status=Pending-Auth; TIF defaults to DAY.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in authorization queue.</w:t>
            </w:r>
          </w:p>
        </w:tc>
      </w:tr>
    </w:tbl>
    <w:p/>
    <w:p>
      <w:pPr>
        <w:pStyle w:val="Heading3"/>
      </w:pPr>
      <w:r>
        <w:t>TC-GAP-OTF001-02 — GTC order survives EOD and remains working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TC-GAP-OTF001-02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GTC order survives EOD and remains working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Workflow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LIMIT order with TIF=GTC placed and authorized.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Place GTC order at 14:00. 2. Market closes 15:30. 3. Next day opens. 4. Verify status.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TIF=GTC; LIMIT=102.35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remains Working after market close; re-appears on trader blotter next day.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active across days.</w:t>
            </w:r>
          </w:p>
        </w:tc>
      </w:tr>
    </w:tbl>
    <w:p/>
    <w:p>
      <w:pPr>
        <w:pStyle w:val="Heading3"/>
      </w:pPr>
      <w:r>
        <w:t>TC-GAP-OTF001-03 — DAY order with zero fills expires at 15:30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TC-GAP-OTF001-03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DAY order with zero fills expires at 15:30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LIMIT order TIF=DAY placed at 10:00; zero fills by 15:30.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Verify status at 15:29:59. 2. Verify at 15:30:01.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TIF=DAY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At 15:29:59 status=Working; at 15:30:01 status=Expired; NTF to RM.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terminal.</w:t>
            </w:r>
          </w:p>
        </w:tc>
      </w:tr>
    </w:tbl>
    <w:p/>
    <w:p>
      <w:pPr>
        <w:pStyle w:val="Heading3"/>
      </w:pPr>
      <w:r>
        <w:t>TC-GAP-OTF002-01 — Order with future trade date accepted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TC-GAP-OTF002-01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with future trade date accepted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RM logged in; today=2026-04-18.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New Order. 2. trade_date=2026-04-25. 3.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trade_date=2026-04-25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created status=Pending-Auth; does not appear on placement queue until 2026-04-25.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Scheduled order in Future Orders view.</w:t>
            </w:r>
          </w:p>
        </w:tc>
      </w:tr>
    </w:tbl>
    <w:p/>
    <w:p>
      <w:pPr>
        <w:pStyle w:val="Heading3"/>
      </w:pPr>
      <w:r>
        <w:t>TC-GAP-OTF003-01 — Switch-In/Out between UITFs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TC-GAP-OTF003-01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Switch-In/Out between UITFs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FR-GAP-OTF-003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Client holds 100k units UITF-MMF-A; UITF-EQ-B eligible.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Order type=SWITCH. 2. From=UITF-MMF-A; To=UITF-EQ-B. 3. Units=50000. 4.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switch_from=UITF-MMF-A; switch_to=UITF-EQ-B; units=50000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Single switch order; redeem+subscribe linked atomically; same NAVpu cut-off; Pending-Auth.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Switch order in auth queue.</w:t>
            </w:r>
          </w:p>
        </w:tc>
      </w:tr>
    </w:tbl>
    <w:p/>
    <w:p>
      <w:pPr>
        <w:pStyle w:val="Heading3"/>
      </w:pPr>
      <w:r>
        <w:t>TC-GAP-OTF004-01 — Monthly scheduled recurring withdrawal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TC-GAP-OTF004-01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Monthly scheduled recurring withdrawal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FR-GAP-OTF-004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Client account active with sufficient balance.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Scheduled Orders → New. 2. Type=Withdrawal; frequency=Monthly; amount=PHP 50000. 3. Save.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frequency=Monthly; amount=50000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Schedule created status=Active; next_run set; maker-checker applied.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Schedule in Recurring Orders list.</w:t>
            </w:r>
          </w:p>
        </w:tc>
      </w:tr>
    </w:tbl>
    <w:p/>
    <w:p>
      <w:pPr>
        <w:pStyle w:val="Heading3"/>
      </w:pPr>
      <w:r>
        <w:t>TC-GAP-OTF005-01 — Subsequent allocation to existing block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TC-GAP-OTF005-01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Subsequent allocation to existing block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FR-GAP-OTF-005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Block BLK-001 placed for ISIN PHY7225E1116 BUY; status=Working.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Authorize new order same ISIN/side. 2. Trader selects Add to Block BLK-001. 3. Confirm.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existing block BLK-001; new qty=20000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Block qty increased; child link added; FIX amend sent; audit captures amendment.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Block has N+1 children.</w:t>
            </w:r>
          </w:p>
        </w:tc>
      </w:tr>
    </w:tbl>
    <w:p/>
    <w:p>
      <w:pPr>
        <w:pStyle w:val="Heading3"/>
      </w:pPr>
      <w:r>
        <w:t>TC-GAP-OTF006-01 — Inter-portfolio block one-to-many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TC-GAP-OTF006-01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Inter-portfolio block one-to-many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FR-GAP-OTF-006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PORT-A holds 100k units; PORT-B/C/D same client.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IPT From=PORT-A. 2. To=PORT-B(40k),PORT-C(30k),PORT-D(30k). 3.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one-to-many; total=100000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IPT order with 3 allocation legs; all Pending-Auth; T+0 settlement.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3 child allocations linked.</w:t>
            </w:r>
          </w:p>
        </w:tc>
      </w:tr>
    </w:tbl>
    <w:p/>
    <w:p>
      <w:r>
        <w:br w:type="page"/>
      </w:r>
    </w:p>
    <w:p>
      <w:pPr>
        <w:pStyle w:val="Heading1"/>
      </w:pPr>
      <w:r>
        <w:t>4. Order Validation &amp; Compliance (FR-GAP-VAL) — Key Tests</w:t>
      </w:r>
    </w:p>
    <w:p>
      <w:pPr>
        <w:pStyle w:val="Heading3"/>
      </w:pPr>
      <w:r>
        <w:t>TC-GAP-VAL001-01 — Pre-trade trader limit check passes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TC-GAP-VAL001-01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Pre-trade trader limit check passes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Trader-A daily limit=PHP 500M; today traded=PHP 200M.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Trader places order PHP 100M. 2. Observe limit check.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order=100M; cumulative_after=300M; limit=500M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Limit check passes; remaining capacity=PHP 200M.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Trader utilization updated.</w:t>
            </w:r>
          </w:p>
        </w:tc>
      </w:tr>
    </w:tbl>
    <w:p/>
    <w:p>
      <w:pPr>
        <w:pStyle w:val="Heading3"/>
      </w:pPr>
      <w:r>
        <w:t>TC-GAP-VAL001-02 — Trader limit breach blocked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TC-GAP-VAL001-02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Trader limit breach blocked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Trader-A limit=PHP 500M; today=PHP 480M.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Order PHP 30M. 2.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order=30M; would push to 510M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HARD_BREACH "Trader daily limit exceeded." Order blocked.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 order.</w:t>
            </w:r>
          </w:p>
        </w:tc>
      </w:tr>
    </w:tbl>
    <w:p/>
    <w:p>
      <w:pPr>
        <w:pStyle w:val="Heading3"/>
      </w:pPr>
      <w:r>
        <w:t>TC-GAP-VAL006-01 — IMA minimum face PHP 1M blocked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TC-GAP-VAL006-01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 minimum face PHP 1M blocked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FR-GAP-VAL-006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Portfolio type=IMA-Directed.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BUY bond face_amount=PHP 999999. 2.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face=999999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VALIDATION_ERROR "IMA minimum face amount is PHP 1,000,000."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 order.</w:t>
            </w:r>
          </w:p>
        </w:tc>
      </w:tr>
    </w:tbl>
    <w:p/>
    <w:p>
      <w:pPr>
        <w:pStyle w:val="Heading3"/>
      </w:pPr>
      <w:r>
        <w:t>TC-GAP-VAL006-02 — IMA trade exactly PHP 1M passes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TC-GAP-VAL006-02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 trade exactly PHP 1M passes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FR-GAP-VAL-006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Portfolio type=IMA.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BUY bond face=PHP 1000000. 2.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face=1000000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Validation passes; order Pending-Auth.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created.</w:t>
            </w:r>
          </w:p>
        </w:tc>
      </w:tr>
    </w:tbl>
    <w:p/>
    <w:p>
      <w:pPr>
        <w:pStyle w:val="Heading3"/>
      </w:pPr>
      <w:r>
        <w:t>TC-GAP-VAL010-01 — UITF order at 11:29:59 accepted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TC-GAP-VAL010-01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UITF order at 11:29:59 accepted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FR-GAP-VAL-010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UITF cut-off=11:30 AM.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Submit UITF order at 11:29:59.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submit_time=11:29:59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Accepted; NAVpu=today.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Order uses today NAVpu.</w:t>
            </w:r>
          </w:p>
        </w:tc>
      </w:tr>
    </w:tbl>
    <w:p/>
    <w:p>
      <w:pPr>
        <w:pStyle w:val="Heading3"/>
      </w:pPr>
      <w:r>
        <w:t>TC-GAP-VAL010-02 — UITF order at 11:30:01 rolls to next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TC-GAP-VAL010-02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UITF order at 11:30:01 rolls to next day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FR-GAP-VAL-010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UITF cut-off=11:30 AM.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Submit at 11:30:01.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submit_time=11:30:01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NAVpu = next business day.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NAVpu=next day.</w:t>
            </w:r>
          </w:p>
        </w:tc>
      </w:tr>
    </w:tbl>
    <w:p/>
    <w:p>
      <w:r>
        <w:br w:type="page"/>
      </w:r>
    </w:p>
    <w:p>
      <w:pPr>
        <w:pStyle w:val="Heading1"/>
      </w:pPr>
      <w:r>
        <w:t>5. Portfolio Modeling &amp; Rebalancing (FR-GAP-PMR) — Key Tests</w:t>
      </w:r>
    </w:p>
    <w:p>
      <w:pPr>
        <w:pStyle w:val="Heading3"/>
      </w:pPr>
      <w:r>
        <w:t>TC-GAP-PMR001-01 — What-if simulation on portfolio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TC-GAP-PMR001-01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What-if simulation on portfolio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FR-GAP-PMR-001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PORT-00045 loaded; current allocation visible.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Simulate → Add BUY ISIN-A 50k at PHP 100. 2. Run.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hypothetical BUY PHP 5M equity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Simulated allocation: equity % increases; duration/yield impact shown; no actual orders.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Simulation saved.</w:t>
            </w:r>
          </w:p>
        </w:tc>
      </w:tr>
    </w:tbl>
    <w:p/>
    <w:p>
      <w:pPr>
        <w:pStyle w:val="Heading3"/>
      </w:pPr>
      <w:r>
        <w:t>TC-GAP-PMR004-01 — Constant-mix rebalancing 60/40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TC-GAP-PMR004-01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Constant-mix rebalancing 60/40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FR-GAP-PMR-004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Portfolio currently 70/30; target=60/40.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Rebalance → Model=60/40. 2. Simulate.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current=70/30; target=60/40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Trades generated: sell equity ~10% AUM, buy bonds ~10% AUM; blotter editable; compliance pre-check runs.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Simulated trade blotter displayed.</w:t>
            </w:r>
          </w:p>
        </w:tc>
      </w:tr>
    </w:tbl>
    <w:p/>
    <w:p>
      <w:pPr>
        <w:pStyle w:val="Heading3"/>
      </w:pPr>
      <w:r>
        <w:t>TC-GAP-PMR009-01 — Trade blotter → live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TC-GAP-PMR009-01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Trade blotter → live orders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FR-GAP-PMR-009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Rebalance complete; 8 trades in blotter.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Review. 2. Edit trade-3 qty. 3. Submit as Orders.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8 trades; edit trade-3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8 orders Pending-Auth; linked to rebalance_run_id; audit trail.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8 orders in auth queue.</w:t>
            </w:r>
          </w:p>
        </w:tc>
      </w:tr>
    </w:tbl>
    <w:p/>
    <w:p>
      <w:r>
        <w:br w:type="page"/>
      </w:r>
    </w:p>
    <w:p>
      <w:pPr>
        <w:pStyle w:val="Heading1"/>
      </w:pPr>
      <w:r>
        <w:t>6. Scheduled Investment &amp; Retirement Products (FR-GAP-SRP) — Key Tests</w:t>
      </w:r>
    </w:p>
    <w:p>
      <w:pPr>
        <w:pStyle w:val="Heading3"/>
      </w:pPr>
      <w:r>
        <w:t>TC-GAP-SRP001-01 — EIP enrollment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TC-GAP-SRP001-01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EIP enrollment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Client active; CA nominated; UITF eligible.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EIP Enroll. 2. Fund=UITF-MMF-A; PHP 5000/month; CA-001. 3. Submit. 4. Checker approves.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fund=UITF-MMF-A; amount=5000; monthly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EIP created; auto-debit instruction transmitted; first debit=2026-05-01; confirmation sent.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EIP active.</w:t>
            </w:r>
          </w:p>
        </w:tc>
      </w:tr>
    </w:tbl>
    <w:p/>
    <w:p>
      <w:pPr>
        <w:pStyle w:val="Heading3"/>
      </w:pPr>
      <w:r>
        <w:t>TC-GAP-SRP003-01 — PERA enrollment new contributor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TC-GAP-SRP003-01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enrollment new contributor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FR-GAP-SRP-003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Client TIN verified; no existing PERA.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PERA Enroll. 2. TIN, contribution=100k/year. 3. BSP TIN check. 4. e-Learning done. 5.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TIN=123-456-789-000; contribution=100k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account created; BSP returns "No existing PERA"; contributor file generated.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active.</w:t>
            </w:r>
          </w:p>
        </w:tc>
      </w:tr>
    </w:tbl>
    <w:p/>
    <w:p>
      <w:pPr>
        <w:pStyle w:val="Heading3"/>
      </w:pPr>
      <w:r>
        <w:t>TC-GAP-SRP003-02 — Duplicate PERA blocked by BSP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TC-GAP-SRP003-02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Duplicate PERA blocked by BSP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FR-GAP-SRP-003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TIN has PERA with another admin.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Enroll. 2. BSP returns "Existing PERA found".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duplicate TIN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UNPROCESSABLE "Contributor already has PERA. Transfer-in required."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 enrollment.</w:t>
            </w:r>
          </w:p>
        </w:tc>
      </w:tr>
    </w:tbl>
    <w:p/>
    <w:p>
      <w:pPr>
        <w:pStyle w:val="Heading3"/>
      </w:pPr>
      <w:r>
        <w:t>TC-GAP-SRP004-01 — PERA qualified withdrawal tax-free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TC-GAP-SRP004-01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qualified withdrawal tax-free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FR-GAP-SRP-004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Contributor age=56; period ≥ 5y.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PERA Withdraw Qualified. 2. Amount=PHP 500k. 3. Submit.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age=56; period=7y; amount=500k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Tax-free withdrawal; BSP file updated; no penalty.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balance reduced.</w:t>
            </w:r>
          </w:p>
        </w:tc>
      </w:tr>
    </w:tbl>
    <w:p/>
    <w:p>
      <w:pPr>
        <w:pStyle w:val="Heading3"/>
      </w:pPr>
      <w:r>
        <w:t>TC-GAP-SRP004-02 — PERA unqualified withdrawal with penalty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TC-GAP-SRP004-02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PERA unqualified withdrawal with penalty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Workflow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FR-GAP-SRP-004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Contributor age=35.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Withdraw Unqualified. 2. Acknowledge penalty.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age=35; amount=200k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Penalty computed; tax credit reversed; net proceeds = 200k minus penalty.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Penalty applied.</w:t>
            </w:r>
          </w:p>
        </w:tc>
      </w:tr>
    </w:tbl>
    <w:p/>
    <w:p>
      <w:pPr>
        <w:pStyle w:val="Heading3"/>
      </w:pPr>
      <w:r>
        <w:t>TC-GAP-SRP008-01 — IMA auto-roll per standing instruction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TC-GAP-SRP008-01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 auto-roll per standing instruction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FR-GAP-SRP-008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IMA-001 matures today; SI=Auto-Roll; tenor=90d.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Maturity date reached. 2. System processes SI.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SI=Auto-Roll; tenor=90d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Proceeds rolled into new placement; new maturity set; client advised.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New IMA created.</w:t>
            </w:r>
          </w:p>
        </w:tc>
      </w:tr>
    </w:tbl>
    <w:p/>
    <w:p>
      <w:pPr>
        <w:pStyle w:val="Heading3"/>
      </w:pPr>
      <w:r>
        <w:t>TC-GAP-SRP009-01 — IMA pretermination with penalty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TC-GAP-SRP009-01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 pretermination with penalty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Linked FR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FR-GAP-SRP-009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IMA-004 tenor=180d; day 90.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Preterminate. 2. Acknowledge penalty. 3. Compliance approves.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elapsed=90/180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Penalty computed; proceeds=principal minus penalty plus accrued; payout to CA; IMA closed.</w:t>
            </w:r>
          </w:p>
        </w:tc>
      </w:tr>
      <w:tr>
        <w:tc>
          <w:tcPr>
            <w:tcW w:type="dxa" w:w="1984"/>
            <w:shd w:val="clear" w:color="auto" w:fill="E8EDF2"/>
          </w:tcPr>
          <w:p>
            <w:r>
              <w:rPr>
                <w:b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IMA preterminated.</w:t>
            </w:r>
          </w:p>
        </w:tc>
      </w:tr>
    </w:tbl>
    <w:p/>
    <w:p>
      <w:r>
        <w:br w:type="page"/>
      </w:r>
    </w:p>
    <w:p>
      <w:pPr>
        <w:pStyle w:val="Heading1"/>
      </w:pPr>
      <w:r>
        <w:t>7. Gap Integration / E2E Tests</w:t>
      </w:r>
    </w:p>
    <w:p>
      <w:pPr>
        <w:pStyle w:val="Heading3"/>
      </w:pPr>
      <w:r>
        <w:t>TC-GAP-INT-001 — Full rebalance-to-execution cycle</w:t>
      </w:r>
    </w:p>
    <w:p>
      <w:r>
        <w:rPr>
          <w:b/>
        </w:rPr>
        <w:t xml:space="preserve">Expected: </w:t>
      </w:r>
      <w:r>
        <w:t>Rebalance simulation → edit blotter → submit orders → SRM auth → aggregate → fill → settle. Portfolio matches model post-settlement.</w:t>
      </w:r>
    </w:p>
    <w:p/>
    <w:p>
      <w:pPr>
        <w:pStyle w:val="Heading3"/>
      </w:pPr>
      <w:r>
        <w:t>TC-GAP-INT-002 — EIP auto-debit → UITF unit issuance → ERP auto-credit</w:t>
      </w:r>
    </w:p>
    <w:p>
      <w:r>
        <w:rPr>
          <w:b/>
        </w:rPr>
        <w:t xml:space="preserve">Expected: </w:t>
      </w:r>
      <w:r>
        <w:t>Monthly EIP debits CA; units issued at NAVpu; ERP redeems; proceeds credited. Full cycle auditable.</w:t>
      </w:r>
    </w:p>
    <w:p/>
    <w:p>
      <w:pPr>
        <w:pStyle w:val="Heading3"/>
      </w:pPr>
      <w:r>
        <w:t>TC-GAP-INT-003 — PERA enrollment → contribution → TCC → qualified withdrawal</w:t>
      </w:r>
    </w:p>
    <w:p>
      <w:r>
        <w:rPr>
          <w:b/>
        </w:rPr>
        <w:t xml:space="preserve">Expected: </w:t>
      </w:r>
      <w:r>
        <w:t>Contributor enrolled; contribution made; TCC issued; qualified withdrawal tax-free; BSP files at each stage.</w:t>
      </w:r>
    </w:p>
    <w:p/>
    <w:p>
      <w:pPr>
        <w:pStyle w:val="Heading3"/>
      </w:pPr>
      <w:r>
        <w:t>TC-GAP-INT-004 — IPO advance order → volume cap → allocation → settlement</w:t>
      </w:r>
    </w:p>
    <w:p>
      <w:r>
        <w:rPr>
          <w:b/>
        </w:rPr>
        <w:t xml:space="preserve">Expected: </w:t>
      </w:r>
      <w:r>
        <w:t>Advance orders capped at issue limit; IPO engine distributes pro-rata; settlement completes.</w:t>
      </w:r>
    </w:p>
    <w:p/>
    <w:p>
      <w:pPr>
        <w:pStyle w:val="Heading3"/>
      </w:pPr>
      <w:r>
        <w:t>TC-GAP-INT-005 — Cross-channel switch order with FX</w:t>
      </w:r>
    </w:p>
    <w:p>
      <w:r>
        <w:rPr>
          <w:b/>
        </w:rPr>
        <w:t xml:space="preserve">Expected: </w:t>
      </w:r>
      <w:r>
        <w:t>Client initiates switch via portal; branch sees order; FX conversion; both legs settle atomically.</w:t>
      </w:r>
    </w:p>
    <w:p/>
    <w:p>
      <w:pPr>
        <w:pStyle w:val="Heading3"/>
      </w:pPr>
      <w:r>
        <w:t>TC-GAP-INT-006 — Hard/soft breach during rebalance submission</w:t>
      </w:r>
    </w:p>
    <w:p>
      <w:r>
        <w:rPr>
          <w:b/>
        </w:rPr>
        <w:t xml:space="preserve">Expected: </w:t>
      </w:r>
      <w:r>
        <w:t>10 orders from rebalance; 1 hard breach blocked; 1 soft breach overridden; 8 proceed normally.</w:t>
      </w:r>
    </w:p>
    <w:p/>
    <w:p>
      <w:pPr>
        <w:pStyle w:val="Heading1"/>
      </w:pPr>
      <w:r>
        <w:t>8. Gap Permission / SoD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Authorized 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Unauthorized 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t>TC-GAP-PERM-01</w:t>
            </w:r>
          </w:p>
        </w:tc>
        <w:tc>
          <w:tcPr>
            <w:tcW w:type="dxa" w:w="1728"/>
          </w:tcPr>
          <w:p>
            <w:r>
              <w:t>Back-date override</w:t>
            </w:r>
          </w:p>
        </w:tc>
        <w:tc>
          <w:tcPr>
            <w:tcW w:type="dxa" w:w="1728"/>
          </w:tcPr>
          <w:p>
            <w:r>
              <w:t>SRM + Compliance</w:t>
            </w:r>
          </w:p>
        </w:tc>
        <w:tc>
          <w:tcPr>
            <w:tcW w:type="dxa" w:w="1728"/>
          </w:tcPr>
          <w:p>
            <w:r>
              <w:t>RM alone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TC-GAP-PERM-02</w:t>
            </w:r>
          </w:p>
        </w:tc>
        <w:tc>
          <w:tcPr>
            <w:tcW w:type="dxa" w:w="1728"/>
          </w:tcPr>
          <w:p>
            <w:r>
              <w:t>Soft breach override</w:t>
            </w:r>
          </w:p>
        </w:tc>
        <w:tc>
          <w:tcPr>
            <w:tcW w:type="dxa" w:w="1728"/>
          </w:tcPr>
          <w:p>
            <w:r>
              <w:t>Compliance (override RBAC)</w:t>
            </w:r>
          </w:p>
        </w:tc>
        <w:tc>
          <w:tcPr>
            <w:tcW w:type="dxa" w:w="1728"/>
          </w:tcPr>
          <w:p>
            <w:r>
              <w:t>RM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TC-GAP-PERM-03</w:t>
            </w:r>
          </w:p>
        </w:tc>
        <w:tc>
          <w:tcPr>
            <w:tcW w:type="dxa" w:w="1728"/>
          </w:tcPr>
          <w:p>
            <w:r>
              <w:t>Fee charge override</w:t>
            </w:r>
          </w:p>
        </w:tc>
        <w:tc>
          <w:tcPr>
            <w:tcW w:type="dxa" w:w="1728"/>
          </w:tcPr>
          <w:p>
            <w:r>
              <w:t>SRM</w:t>
            </w:r>
          </w:p>
        </w:tc>
        <w:tc>
          <w:tcPr>
            <w:tcW w:type="dxa" w:w="1728"/>
          </w:tcPr>
          <w:p>
            <w:r>
              <w:t>Trader alone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TC-GAP-PERM-04</w:t>
            </w:r>
          </w:p>
        </w:tc>
        <w:tc>
          <w:tcPr>
            <w:tcW w:type="dxa" w:w="1728"/>
          </w:tcPr>
          <w:p>
            <w:r>
              <w:t>Rebalance submit as orders</w:t>
            </w:r>
          </w:p>
        </w:tc>
        <w:tc>
          <w:tcPr>
            <w:tcW w:type="dxa" w:w="1728"/>
          </w:tcPr>
          <w:p>
            <w:r>
              <w:t>Portfolio Officer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TC-GAP-PERM-05</w:t>
            </w:r>
          </w:p>
        </w:tc>
        <w:tc>
          <w:tcPr>
            <w:tcW w:type="dxa" w:w="1728"/>
          </w:tcPr>
          <w:p>
            <w:r>
              <w:t>PERA transfer out</w:t>
            </w:r>
          </w:p>
        </w:tc>
        <w:tc>
          <w:tcPr>
            <w:tcW w:type="dxa" w:w="1728"/>
          </w:tcPr>
          <w:p>
            <w:r>
              <w:t>Compliance + BO</w:t>
            </w:r>
          </w:p>
        </w:tc>
        <w:tc>
          <w:tcPr>
            <w:tcW w:type="dxa" w:w="1728"/>
          </w:tcPr>
          <w:p>
            <w:r>
              <w:t>RM alone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TC-GAP-PERM-06</w:t>
            </w:r>
          </w:p>
        </w:tc>
        <w:tc>
          <w:tcPr>
            <w:tcW w:type="dxa" w:w="1728"/>
          </w:tcPr>
          <w:p>
            <w:r>
              <w:t>Kill-switch + book-only combo</w:t>
            </w:r>
          </w:p>
        </w:tc>
        <w:tc>
          <w:tcPr>
            <w:tcW w:type="dxa" w:w="1728"/>
          </w:tcPr>
          <w:p>
            <w:r>
              <w:t>CRO+CCO</w:t>
            </w:r>
          </w:p>
        </w:tc>
        <w:tc>
          <w:tcPr>
            <w:tcW w:type="dxa" w:w="1728"/>
          </w:tcPr>
          <w:p>
            <w:r>
              <w:t>BO-Maker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TC-GAP-PERM-07</w:t>
            </w:r>
          </w:p>
        </w:tc>
        <w:tc>
          <w:tcPr>
            <w:tcW w:type="dxa" w:w="1728"/>
          </w:tcPr>
          <w:p>
            <w:r>
              <w:t>Branch cross-visibility</w:t>
            </w:r>
          </w:p>
        </w:tc>
        <w:tc>
          <w:tcPr>
            <w:tcW w:type="dxa" w:w="1728"/>
          </w:tcPr>
          <w:p>
            <w:r>
              <w:t>Head-Office</w:t>
            </w:r>
          </w:p>
        </w:tc>
        <w:tc>
          <w:tcPr>
            <w:tcW w:type="dxa" w:w="1728"/>
          </w:tcPr>
          <w:p>
            <w:r>
              <w:t>Branch-User (other)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TC-GAP-PERM-08</w:t>
            </w:r>
          </w:p>
        </w:tc>
        <w:tc>
          <w:tcPr>
            <w:tcW w:type="dxa" w:w="1728"/>
          </w:tcPr>
          <w:p>
            <w:r>
              <w:t>IMA pretermination approve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Trader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TC-GAP-PERM-09</w:t>
            </w:r>
          </w:p>
        </w:tc>
        <w:tc>
          <w:tcPr>
            <w:tcW w:type="dxa" w:w="1728"/>
          </w:tcPr>
          <w:p>
            <w:r>
              <w:t>IPO allocation override</w:t>
            </w:r>
          </w:p>
        </w:tc>
        <w:tc>
          <w:tcPr>
            <w:tcW w:type="dxa" w:w="1728"/>
          </w:tcPr>
          <w:p>
            <w:r>
              <w:t>BO-Head + Compliance</w:t>
            </w:r>
          </w:p>
        </w:tc>
        <w:tc>
          <w:tcPr>
            <w:tcW w:type="dxa" w:w="1728"/>
          </w:tcPr>
          <w:p>
            <w:r>
              <w:t>Trader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  <w:tr>
        <w:tc>
          <w:tcPr>
            <w:tcW w:type="dxa" w:w="1728"/>
          </w:tcPr>
          <w:p>
            <w:r>
              <w:t>TC-GAP-PERM-10</w:t>
            </w:r>
          </w:p>
        </w:tc>
        <w:tc>
          <w:tcPr>
            <w:tcW w:type="dxa" w:w="1728"/>
          </w:tcPr>
          <w:p>
            <w:r>
              <w:t>Derivative setup</w:t>
            </w:r>
          </w:p>
        </w:tc>
        <w:tc>
          <w:tcPr>
            <w:tcW w:type="dxa" w:w="1728"/>
          </w:tcPr>
          <w:p>
            <w:r>
              <w:t>Risk + Treasury</w:t>
            </w:r>
          </w:p>
        </w:tc>
        <w:tc>
          <w:tcPr>
            <w:tcW w:type="dxa" w:w="1728"/>
          </w:tcPr>
          <w:p>
            <w:r>
              <w:t>RM</w:t>
            </w:r>
          </w:p>
        </w:tc>
        <w:tc>
          <w:tcPr>
            <w:tcW w:type="dxa" w:w="1728"/>
          </w:tcPr>
          <w:p>
            <w:r>
              <w:t>FORBIDDEN</w:t>
            </w:r>
          </w:p>
        </w:tc>
      </w:tr>
    </w:tbl>
    <w:p>
      <w:r>
        <w:br w:type="page"/>
      </w:r>
    </w:p>
    <w:p>
      <w:pPr>
        <w:pStyle w:val="Heading1"/>
      </w:pPr>
      <w:r>
        <w:t>9. Exit Criteria for UAT (Gap Coverage)</w:t>
      </w:r>
    </w:p>
    <w:p>
      <w:pPr>
        <w:pStyle w:val="ListBullet"/>
      </w:pPr>
      <w:r>
        <w:t>100% of GAP happy-path tests pass.</w:t>
      </w:r>
    </w:p>
    <w:p>
      <w:pPr>
        <w:pStyle w:val="ListBullet"/>
      </w:pPr>
      <w:r>
        <w:t>≥ 90% of GAP negative + boundary tests pass.</w:t>
      </w:r>
    </w:p>
    <w:p>
      <w:pPr>
        <w:pStyle w:val="ListBullet"/>
      </w:pPr>
      <w:r>
        <w:t>All GAP integration tests TC-GAP-INT-001 through TC-GAP-INT-006 pass.</w:t>
      </w:r>
    </w:p>
    <w:p>
      <w:pPr>
        <w:pStyle w:val="ListBullet"/>
      </w:pPr>
      <w:r>
        <w:t>All GAP process-flow traversal tests TC-GAP-PFT-01 through TC-GAP-PFT-06 pass.</w:t>
      </w:r>
    </w:p>
    <w:p>
      <w:pPr>
        <w:pStyle w:val="ListBullet"/>
      </w:pPr>
      <w:r>
        <w:t>All GAP permission tests TC-GAP-PERM-01 through TC-GAP-PERM-10 pass.</w:t>
      </w:r>
    </w:p>
    <w:p>
      <w:pPr>
        <w:pStyle w:val="ListBullet"/>
      </w:pPr>
      <w:r>
        <w:t>Critical-severity gaps (Portfolio Modeling, PERA) at 100% pass rate.</w:t>
      </w:r>
    </w:p>
    <w:p>
      <w:pPr>
        <w:pStyle w:val="ListBullet"/>
      </w:pPr>
      <w:r>
        <w:t>BSP PERA-Sys API integration verified in staging with mock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