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Liberation Sans" w:hAnsi="Liberation Sans"/>
          <w:b/>
          <w:color w:val="1F4E79"/>
          <w:sz w:val="48"/>
        </w:rPr>
        <w:t>Business Requirements Document</w:t>
      </w:r>
    </w:p>
    <w:p>
      <w:pPr>
        <w:jc w:val="center"/>
      </w:pPr>
      <w:r>
        <w:rPr>
          <w:rFonts w:ascii="Liberation Sans" w:hAnsi="Liberation Sans"/>
          <w:b/>
          <w:sz w:val="32"/>
        </w:rPr>
        <w:t>Trust Banking Platform - Philippines</w:t>
        <w:br/>
        <w:t>Logical Grouping and Detailed BRDs</w:t>
      </w:r>
    </w:p>
    <w:p>
      <w:pPr>
        <w:spacing w:before="600"/>
        <w:jc w:val="center"/>
      </w:pPr>
      <w:r>
        <w:rPr>
          <w:rFonts w:ascii="Liberation Sans" w:hAnsi="Liberation Sans"/>
          <w:sz w:val="20"/>
        </w:rPr>
        <w:t>Source: NewTrustSystem_RDD BA Questions_Part2_VendorName.xlsx</w:t>
        <w:br/>
        <w:t>Generated: 2026-05-04</w:t>
        <w:br/>
        <w:t>Prepared as an enterprise-grade BRD baseline for business, architecture, development and testing teams.</w:t>
      </w:r>
    </w:p>
    <w:p>
      <w:pPr>
        <w:spacing w:before="700"/>
        <w:jc w:val="center"/>
      </w:pPr>
      <w:r>
        <w:rPr>
          <w:rFonts w:ascii="Liberation Sans" w:hAnsi="Liberation Sans"/>
          <w:i/>
          <w:sz w:val="18"/>
        </w:rPr>
        <w:t>Important: This document expands one-line requirements into solution requirements and control expectations. It is a business/system requirements baseline, not a legal opinion. Final implementation should be validated by the bank's legal, compliance, risk, trust business and technology governance teams.</w:t>
      </w:r>
    </w:p>
    <w:p>
      <w:r>
        <w:br w:type="page"/>
      </w:r>
    </w:p>
    <w:p>
      <w:pPr>
        <w:pStyle w:val="Heading1"/>
      </w:pPr>
      <w:r>
        <w:rPr>
          <w:rFonts w:ascii="Liberation Sans" w:hAnsi="Liberation Sans"/>
          <w:color w:val="1F4E79"/>
          <w:sz w:val="32"/>
        </w:rPr>
        <w:t>Document Control</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Document title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Trust Banking Platform - Philippines Logical Grouping and Detailed BRDs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Purpose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Expand the uploaded one-liner requirements into logical groups and detailed BRDs suitable for enterprise application development.</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Prepared for</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Trust banking customer in the Philippines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workbook</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NewTrustSystem_RDD BA Questions_Part2_VendorName.xlsx</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Product List, Data Structure, and System Access &amp; Channels sheets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Regulatory basis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Philippine trust banking domain practice and selected BSP/NPC/e-commerce regulatory references listed in Appendix B.</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Document status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Working BRD baseline for validation and solution fit-gap</w:t>
            </w:r>
          </w:p>
        </w:tc>
      </w:tr>
    </w:tbl>
    <w:p>
      <w:pPr>
        <w:spacing w:after="120"/>
        <w:jc w:val="both"/>
      </w:pPr>
      <w:r>
        <w:rPr>
          <w:rFonts w:ascii="Liberation Sans" w:hAnsi="Liberation Sans"/>
          <w:sz w:val="18"/>
        </w:rPr>
        <w:t>The one-liners in the workbook were grouped by business capability instead of by worksheet only. This allows product owners, architects, developers and testers to build the system around coherent end-to-end capabilities: trust product administration, UITF operations, investment/portfolio processing, other fiduciary services, data model, digital channels and cross-cutting control requirements.</w:t>
      </w:r>
    </w:p>
    <w:p>
      <w:pPr>
        <w:spacing w:after="120"/>
        <w:jc w:val="both"/>
      </w:pPr>
      <w:r>
        <w:rPr>
          <w:rFonts w:ascii="Liberation Sans" w:hAnsi="Liberation Sans"/>
          <w:sz w:val="18"/>
        </w:rPr>
        <w:t>The BRDs deliberately include business rules, data, integrations, controls, reporting and acceptance criteria because a trust-banking solution cannot be treated as a simple product catalogue. It must operate under fiduciary governance, client suitability, AML/CFT, data privacy, record retention, auditability, cyber security and operational resilience expectations.</w:t>
      </w:r>
    </w:p>
    <w:p>
      <w:pPr>
        <w:pStyle w:val="Heading1"/>
      </w:pPr>
      <w:r>
        <w:rPr>
          <w:rFonts w:ascii="Liberation Sans" w:hAnsi="Liberation Sans"/>
          <w:color w:val="1F4E79"/>
          <w:sz w:val="32"/>
        </w:rPr>
        <w:t>Executive Summary</w:t>
      </w:r>
    </w:p>
    <w:p>
      <w:pPr>
        <w:spacing w:after="120"/>
        <w:jc w:val="both"/>
      </w:pPr>
      <w:r>
        <w:rPr>
          <w:rFonts w:ascii="Liberation Sans" w:hAnsi="Liberation Sans"/>
          <w:sz w:val="18"/>
        </w:rPr>
        <w:t>The uploaded workbook contains 49 source one-liner items: 41 product/service coverage items, 5 data-structure questions and 3 access/channel items. Product List support status contains 25 items marked Supported (OOTB), 9 items marked Supported with Configuration and 7 items marked Supported with Customization.</w:t>
      </w:r>
    </w:p>
    <w:p>
      <w:pPr>
        <w:spacing w:after="120"/>
        <w:jc w:val="both"/>
      </w:pPr>
      <w:r>
        <w:rPr>
          <w:rFonts w:ascii="Liberation Sans" w:hAnsi="Liberation Sans"/>
          <w:sz w:val="18"/>
        </w:rPr>
        <w:t>These items have been rationalized into seven logical BRD groups. BRD-01 to BRD-06 map directly to source requirements. BRD-07 is a cross-cutting control BRD derived from the needs of a Philippine trust-banking platform and from applicable regulatory operating expectations.</w:t>
      </w:r>
    </w:p>
    <w:p>
      <w:pPr>
        <w:spacing w:after="120"/>
        <w:jc w:val="both"/>
      </w:pPr>
      <w:r>
        <w:rPr>
          <w:rFonts w:ascii="Liberation Sans" w:hAnsi="Liberation Sans"/>
          <w:sz w:val="18"/>
        </w:rPr>
        <w:t>Key development implications include a configurable product factory, robust party-role model, fund accounting and UITF registry, multi-asset security master, fiduciary case/event engine, channel entitlement model, auditable workflow, regulatory evidence generation and integration to core banking, AML, document management, market data, custodians, GL and reporting platforms.</w:t>
      </w:r>
    </w:p>
    <w:p>
      <w:pPr>
        <w:pStyle w:val="Heading1"/>
      </w:pPr>
      <w:r>
        <w:rPr>
          <w:rFonts w:ascii="Liberation Sans" w:hAnsi="Liberation Sans"/>
          <w:color w:val="1F4E79"/>
          <w:sz w:val="32"/>
        </w:rPr>
        <w:t>Logical Requirement Groups</w:t>
      </w:r>
    </w:p>
    <w:tbl>
      <w:tblPr>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Group</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BRD</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Capability</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 requirements</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Grouping rationale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G1</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BRD-01</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Core Trust, IMA &amp; Specialized 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4 source item(s): Personal Management Trust (PMT); Investment Management Activity (IMA); Pre-Need Trust; Employee Benefit Trust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Product/account lifecycle for trust and investment management mandates.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G2</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BRD-02</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UITF Fund Operations &amp; Distribution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1 source item(s): Unit Investment Trust Fund - UITF</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UITF requires dedicated fund setup, NAV, unit registry and distribution processes.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G3</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BRD-03</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Investment Instruments, Portfolio Operations &amp; Valuation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25 source item(s): Deposits - Time Deposit; Fixed Income - Corporate Bonds, Government Securities, Corporate Bonds, Tier 2, etc; Equities - Preferred Shares, Common Shares, Private Equity, Non-Equity REITS, Non-Listed Equities, INMES ( Investment in a Non-Marketable Equity Security); Structured Products - Combination of two or more separate stand‐alone derivatives contracts, or stand‐alone derivatives contract/s and a plain vanilla cash instrument, where the instruments are offered or distributed together.; Collective  Investment Schemes - ETFs; Collective  Investment Schemes - UITFs; Collective  Investment Schemes - Foreign Exchange spots, forwards, NDFs, swaps, etc; Currencies; plus 17 more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Underlying assets share instrument, trade, valuation and settlement capabilities.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G4</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BRD-04</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Fiduciary, Agency, Escrow &amp; Safekeeping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11 source item(s): Other Fiduciary Services; Escrow (DMW,BIR/CGT,DHSUD,NLRC,IPO Locked Up Shares,Buy &amp; Sell and Other Escrow, Franchise); Court Trust; Mortgage/Collateral Trust Indenture; Bond Trust Indenture; Notes Facility and / Paying Agency (for loans/notes principal and interest payment); Receiving and Paying Agency (i.e. IPO (initial public offering), FOO (follow on offering)) ​; Stock Transfer Agency; plus 3 more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Escrow, agency, registry and safekeeping services are case/event and condition driven.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G5</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BRD-05</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Enterprise Data Model &amp; Data Governance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5 source item(s): a. Core Data Entities - Identify and describe the key business entities; b. Entity Hierarchy - Describe and illustrate entity hierarchies and support for multiple levels; c. Entity Relationships - Explain how entities relate to each other; d. Diagrams - Provide visual diagrams to illustrate the data structure. Diagrams should clearly show the Entities, Relationships, and Hierarchies.; e. Sample Data Models  - Include illustrative samples demonstrating how the model is applied in practice both simple and complex scenarios.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Data-model requirements belong to the common enterprise information architecture.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Digital Access, Portals &amp; Platform Availability</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3 source item(s): Client-facing Portal; Relationship Manager (RM) Portal; Branch-level Access (for UITF)</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Access/channel requirements form a digital and staff-channel capability group.</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BRD-07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Cross-Cutting Controls, Compliance &amp; Operational Resilience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Derived cross-cutting requirements across all source one-liners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Regulatory, risk, security and resilience are mandatory across all trust capabilities.</w:t>
            </w:r>
          </w:p>
        </w:tc>
      </w:tr>
    </w:tbl>
    <w:p>
      <w:pPr>
        <w:pStyle w:val="Heading2"/>
      </w:pPr>
      <w:r>
        <w:rPr>
          <w:rFonts w:ascii="Liberation Sans" w:hAnsi="Liberation Sans"/>
          <w:color w:val="2F5496"/>
          <w:sz w:val="26"/>
        </w:rPr>
        <w:t>Support Status Summary from Product List</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 Status</w:t>
            </w:r>
          </w:p>
        </w:tc>
        <w:tc>
          <w:tcPr>
            <w:tcW w:type="dxa" w:w="3552"/>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Count</w:t>
            </w:r>
          </w:p>
        </w:tc>
        <w:tc>
          <w:tcPr>
            <w:tcW w:type="dxa" w:w="3552"/>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Implementation interpretation</w:t>
            </w:r>
          </w:p>
        </w:tc>
      </w:tr>
      <w:tr>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Supported (OOTB)</w:t>
            </w:r>
          </w:p>
        </w:tc>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25</w:t>
            </w:r>
          </w:p>
        </w:tc>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Expected to be covered by base product capability with configuration limited to bank parameters, fields, workflows, reports and integrations.</w:t>
            </w:r>
          </w:p>
        </w:tc>
      </w:tr>
      <w:tr>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Supported with Configuration</w:t>
            </w:r>
          </w:p>
        </w:tc>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9</w:t>
            </w:r>
          </w:p>
        </w:tc>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Expected to require parameterization, workflow/rule setup, reference data, product templates, report templates or integration mapping.</w:t>
            </w:r>
          </w:p>
        </w:tc>
      </w:tr>
      <w:tr>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Supported with Customization</w:t>
            </w:r>
          </w:p>
        </w:tc>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7</w:t>
            </w:r>
          </w:p>
        </w:tc>
        <w:tc>
          <w:tcPr>
            <w:tcW w:type="dxa" w:w="3552"/>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6"/>
              </w:rPr>
            </w:r>
            <w:r>
              <w:rPr>
                <w:rFonts w:ascii="Liberation Sans" w:hAnsi="Liberation Sans"/>
                <w:b w:val="0"/>
                <w:sz w:val="16"/>
              </w:rPr>
              <w:t>Expected to require code extension, custom workflow/calculation, bespoke data fields, integration or vendor product enhancement.</w:t>
            </w:r>
          </w:p>
        </w:tc>
      </w:tr>
    </w:tbl>
    <w:p>
      <w:pPr>
        <w:pStyle w:val="Heading1"/>
      </w:pPr>
      <w:r>
        <w:rPr>
          <w:rFonts w:ascii="Liberation Sans" w:hAnsi="Liberation Sans"/>
          <w:color w:val="1F4E79"/>
          <w:sz w:val="32"/>
        </w:rPr>
        <w:t>Philippines Trust-Banking Regulatory and Control Context</w:t>
      </w:r>
    </w:p>
    <w:p>
      <w:pPr>
        <w:pStyle w:val="ListBullet"/>
      </w:pPr>
      <w:r>
        <w:rPr>
          <w:rFonts w:ascii="Liberation Sans" w:hAnsi="Liberation Sans"/>
          <w:sz w:val="18"/>
        </w:rPr>
        <w:t>BSP trust authority and governance: The platform must support a bank's authority to conduct trust and other fiduciary business, including trust department structure, trust committee/officer governance, pre-operating policies, systems and controls, and separation from other bank businesses as reflected in MORB Part IV [REF-02].</w:t>
      </w:r>
    </w:p>
    <w:p>
      <w:pPr>
        <w:pStyle w:val="ListBullet"/>
      </w:pPr>
      <w:r>
        <w:rPr>
          <w:rFonts w:ascii="Liberation Sans" w:hAnsi="Liberation Sans"/>
          <w:sz w:val="18"/>
        </w:rPr>
        <w:t>UITF governance: UITF operations require the capability to create, administer, manage and market funds with appropriate processes, systems, infrastructure, risk management, client suitability and disclosure controls [REF-02].</w:t>
      </w:r>
    </w:p>
    <w:p>
      <w:pPr>
        <w:pStyle w:val="ListBullet"/>
      </w:pPr>
      <w:r>
        <w:rPr>
          <w:rFonts w:ascii="Liberation Sans" w:hAnsi="Liberation Sans"/>
          <w:sz w:val="18"/>
        </w:rPr>
        <w:t>AML/CFT: Trust entities are within the scope of BSP AML/CFT regulations. The solution must therefore provide data and workflow support for CDD/KYC, beneficial ownership, screening, monitoring, covered/suspicious transaction reporting support, and record keeping [REF-03].</w:t>
      </w:r>
    </w:p>
    <w:p>
      <w:pPr>
        <w:pStyle w:val="ListBullet"/>
      </w:pPr>
      <w:r>
        <w:rPr>
          <w:rFonts w:ascii="Liberation Sans" w:hAnsi="Liberation Sans"/>
          <w:sz w:val="18"/>
        </w:rPr>
        <w:t>Data privacy: The Data Privacy Act requires reasonable and appropriate organizational, physical and technical measures to protect personal information, and requires accountability for third-party processing. The platform design should apply privacy-by-design, masking, consent and retention controls [REF-06, REF-07].</w:t>
      </w:r>
    </w:p>
    <w:p>
      <w:pPr>
        <w:pStyle w:val="ListBullet"/>
      </w:pPr>
      <w:r>
        <w:rPr>
          <w:rFonts w:ascii="Liberation Sans" w:hAnsi="Liberation Sans"/>
          <w:sz w:val="18"/>
        </w:rPr>
        <w:t>Electronic records and signatures: Where the bank elects to support digital consent or e-signatures, the platform must preserve identity, reliability, integrity, verification and audit evidence aligned to the E-Commerce Act [REF-08].</w:t>
      </w:r>
    </w:p>
    <w:p>
      <w:pPr>
        <w:pStyle w:val="ListBullet"/>
      </w:pPr>
      <w:r>
        <w:rPr>
          <w:rFonts w:ascii="Liberation Sans" w:hAnsi="Liberation Sans"/>
          <w:sz w:val="18"/>
        </w:rPr>
        <w:t>Information security and resilience: BSP information security and operational resilience guidance reinforces the need for information security governance, cyber controls, critical-operation continuity, incident management and recovery capabilities [REF-04, REF-05].</w:t>
      </w:r>
    </w:p>
    <w:p>
      <w:pPr>
        <w:pStyle w:val="ListBullet"/>
      </w:pPr>
      <w:r>
        <w:rPr>
          <w:rFonts w:ascii="Liberation Sans" w:hAnsi="Liberation Sans"/>
          <w:sz w:val="18"/>
        </w:rPr>
        <w:t>Open finance and outsourcing: Customer-permissioned data sharing, APIs, cloud or outsourced delivery must be controlled through consent, data protection, risk-based outsourcing governance, materiality assessment and an outsourcing register where applicable [REF-09, REF-10].</w:t>
      </w:r>
    </w:p>
    <w:p>
      <w:pPr>
        <w:pStyle w:val="Heading1"/>
      </w:pPr>
      <w:r>
        <w:rPr>
          <w:rFonts w:ascii="Liberation Sans" w:hAnsi="Liberation Sans"/>
          <w:color w:val="1F4E79"/>
          <w:sz w:val="32"/>
        </w:rPr>
        <w:t>Common Assumptions and Design Principles</w:t>
      </w:r>
    </w:p>
    <w:p>
      <w:pPr>
        <w:pStyle w:val="ListBullet"/>
      </w:pPr>
      <w:r>
        <w:rPr>
          <w:rFonts w:ascii="Liberation Sans" w:hAnsi="Liberation Sans"/>
          <w:sz w:val="18"/>
        </w:rPr>
        <w:t>The bank is a BSP-supervised financial institution authorized, or seeking authorization, to provide trust and other fiduciary business in the Philippines.</w:t>
      </w:r>
    </w:p>
    <w:p>
      <w:pPr>
        <w:pStyle w:val="ListBullet"/>
      </w:pPr>
      <w:r>
        <w:rPr>
          <w:rFonts w:ascii="Liberation Sans" w:hAnsi="Liberation Sans"/>
          <w:sz w:val="18"/>
        </w:rPr>
        <w:t>The target application will integrate with bank systems of record rather than replace all enterprise platforms. Core banking, GL, AML, CRM, document management, market data and payments remain integration dependencies unless specifically included in vendor scope.</w:t>
      </w:r>
    </w:p>
    <w:p>
      <w:pPr>
        <w:pStyle w:val="ListBullet"/>
      </w:pPr>
      <w:r>
        <w:rPr>
          <w:rFonts w:ascii="Liberation Sans" w:hAnsi="Liberation Sans"/>
          <w:sz w:val="18"/>
        </w:rPr>
        <w:t>All OOTB, configuration and customization claims in the workbook require formal vendor fit-gap validation, demo evidence, configuration design, test scripts and bank sign-off.</w:t>
      </w:r>
    </w:p>
    <w:p>
      <w:pPr>
        <w:pStyle w:val="ListBullet"/>
      </w:pPr>
      <w:r>
        <w:rPr>
          <w:rFonts w:ascii="Liberation Sans" w:hAnsi="Liberation Sans"/>
          <w:sz w:val="18"/>
        </w:rPr>
        <w:t>The BRD uses business language. Detailed solution architecture, screen designs, API contracts, accounting entries and regulatory return templates should be produced in subsequent design documents.</w:t>
      </w:r>
    </w:p>
    <w:p>
      <w:pPr>
        <w:pStyle w:val="ListBullet"/>
      </w:pPr>
      <w:r>
        <w:rPr>
          <w:rFonts w:ascii="Liberation Sans" w:hAnsi="Liberation Sans"/>
          <w:sz w:val="18"/>
        </w:rPr>
        <w:t>All calculations, disclosures, report formats, tax treatment and regulatory obligations must be validated with the bank's product, finance, tax, legal and compliance owners before production release.</w:t>
      </w:r>
    </w:p>
    <w:p>
      <w:pPr>
        <w:pStyle w:val="ListBullet"/>
      </w:pPr>
      <w:r>
        <w:rPr>
          <w:rFonts w:ascii="Liberation Sans" w:hAnsi="Liberation Sans"/>
          <w:sz w:val="18"/>
        </w:rPr>
        <w:t>The application should be parameter-driven where possible: product rules, fees, workflows, document checklists, limits, cut-offs, calendars, approval thresholds and report templates should not require code change for routine business maintenance.</w:t>
      </w:r>
    </w:p>
    <w:p>
      <w:pPr>
        <w:pStyle w:val="ListBullet"/>
      </w:pPr>
      <w:r>
        <w:rPr>
          <w:rFonts w:ascii="Liberation Sans" w:hAnsi="Liberation Sans"/>
          <w:sz w:val="18"/>
        </w:rPr>
        <w:t>Every financial and non-financial transaction must be auditable from source request through approval, posting, reversal/correction and reporting.</w:t>
      </w:r>
    </w:p>
    <w:p>
      <w:r>
        <w:br w:type="page"/>
      </w:r>
    </w:p>
    <w:p>
      <w:pPr>
        <w:pStyle w:val="Heading1"/>
      </w:pPr>
      <w:r>
        <w:rPr>
          <w:rFonts w:ascii="Liberation Sans" w:hAnsi="Liberation Sans"/>
          <w:color w:val="1F4E79"/>
          <w:sz w:val="32"/>
        </w:rPr>
        <w:t>BRD-01 - Core Trust, IMA &amp; Specialized Trust Products</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G1</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Provide a configurable product and account-management capability for personal, corporate and institutional trust relationships, where the bank acts as trustee, fiduciary or investment manager under Philippine trust-banking rules.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Personal Management Trust (PMT); Investment Management Activity (IMA); Pre-Need Trust; Employee Benefit Trust</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Trustor/client; Beneficiary; Trust officer; Investment manager; Relationship manager; Operations maker/checker; Trust Committee; Compliance/AML; Risk management; Finance/GL; Auditor</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Originate or amend the trust/IMA relationship and identify all parties and legal instruments.</w:t>
      </w:r>
    </w:p>
    <w:p>
      <w:pPr>
        <w:pStyle w:val="ListNumber"/>
      </w:pPr>
      <w:r>
        <w:rPr>
          <w:rFonts w:ascii="Liberation Sans" w:hAnsi="Liberation Sans"/>
          <w:sz w:val="18"/>
        </w:rPr>
        <w:t>Perform KYC, risk profiling, suitability and AML/sanctions checks before approval and activation.</w:t>
      </w:r>
    </w:p>
    <w:p>
      <w:pPr>
        <w:pStyle w:val="ListNumber"/>
      </w:pPr>
      <w:r>
        <w:rPr>
          <w:rFonts w:ascii="Liberation Sans" w:hAnsi="Liberation Sans"/>
          <w:sz w:val="18"/>
        </w:rPr>
        <w:t>Capture product-specific mandate, investment policy, restrictions, fees, tax profile, beneficiary rules and funding instructions.</w:t>
      </w:r>
    </w:p>
    <w:p>
      <w:pPr>
        <w:pStyle w:val="ListNumber"/>
      </w:pPr>
      <w:r>
        <w:rPr>
          <w:rFonts w:ascii="Liberation Sans" w:hAnsi="Liberation Sans"/>
          <w:sz w:val="18"/>
        </w:rPr>
        <w:t>Fund the account, manage investments, value holdings, accrue income and charges, and generate statements.</w:t>
      </w:r>
    </w:p>
    <w:p>
      <w:pPr>
        <w:pStyle w:val="ListNumber"/>
      </w:pPr>
      <w:r>
        <w:rPr>
          <w:rFonts w:ascii="Liberation Sans" w:hAnsi="Liberation Sans"/>
          <w:sz w:val="18"/>
        </w:rPr>
        <w:t>Process distributions, benefit payments, account amendments, transfers and closure with maker-checker control.</w:t>
      </w:r>
    </w:p>
    <w:p>
      <w:pPr>
        <w:pStyle w:val="Heading2"/>
      </w:pPr>
      <w:r>
        <w:rPr>
          <w:rFonts w:ascii="Liberation Sans" w:hAnsi="Liberation Sans"/>
          <w:color w:val="2F5496"/>
          <w:sz w:val="26"/>
        </w:rPr>
        <w:t>Source One-Liners in Scope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Detail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Support/availability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Personal Management Trust (PMT)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Investment Management Activity (IMA)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Pre-Need Trust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R10</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Employee Benefit Trust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bl>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Core trust products are not just account types. They are fiduciary relationships governed by agreements, client mandates, beneficiary rules, trust committee oversight and investment restrictions. The application must therefore bind account setup, KYC, mandate, portfolio accounting, document evidence, fee billing and account lifecycle in one auditable process.</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G1-REQ-001</w:t>
              <w:br/>
              <w:t>Product catalogue for core trust products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a configurable catalogue for PMT, IMA, Pre-Need Trust and Employee Benefit Trust, including product code, legal basis, eligibility, allowed currencies, permitted assets, fee schedules, account lifecycle events, mandatory documents and approval workflow.</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administrators can create or update product parameters without code changes, and changes are versioned with maker-checker approval and effective dates.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G1-REQ-002</w:t>
              <w:br/>
              <w:t>Trust/IMA account creation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allow authorized users to create a trust or IMA account from a product template, capture the trustor/client, beneficiary, authorized signatories, account purpose, legal instrument, mandate type, funding source, tax profile, base/reporting currency and operational restrictions.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 new account cannot be activated until mandatory parties, documents, KYC status, risk profile, approval status and funding instructions meet product rules.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G1-REQ-003</w:t>
              <w:br/>
              <w:t>Multi-party role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multiple parties and roles per account, including trustor, settlor, beneficiary, guardian, employer sponsor, plan member, investment manager, co-trustee, authorized representative, payee and related party.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can maintain more than one party per role, track effective dates, document authority and beneficial ownership, and produce a complete party-role history.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G1-REQ-004</w:t>
              <w:br/>
              <w:t>Mandate and investment policy capture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investment objective, risk profile, suitability result, discretionary or advisory mandate, asset allocation target, restriction list, issuer/counterparty limits, liquidity needs, income distribution preference and permitted product universe.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captured mandate drives pre-trade/post-trade compliance checks and appears in account review and statement outputs.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G1-REQ-005</w:t>
              <w:br/>
              <w:t>Onboarding workflow and controls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a configurable onboarding workflow from draft to active status, including document checklist, AML/CDD completion, sanctions and PEP screening, risk approval, Trust Committee approval where applicable and final operations approval.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Workflow history shows each step, actor, timestamp, decision, comments and attachments; activation is blocked when a required step is incomplete.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G1-REQ-006</w:t>
              <w:br/>
              <w:t>Document and e-record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store and link executed agreements, trust deeds, IMA agreements, board resolutions, plan documents, IDs, signature cards, disclosures, consent records and subsequent amendments to the account record.</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can retrieve the latest effective document and prior versions; documents are access controlled, auditable and searchable by account, party, document type and effective date.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G1-REQ-007</w:t>
              <w:br/>
              <w:t>Cash funding and distribution processing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process initial funding, additional contributions, withdrawals, scheduled distributions, benefit payments, income payments and closure disbursements with value date, settlement channel, approval status, payee details and accounting entries.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Maker-checker controls apply to all fund movements, and each movement updates account cash, GL interface records, client statement and audit trail.</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G1-REQ-008</w:t>
              <w:br/>
              <w:t>Portfolio accounting and valuation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holdings, book cost, market value, accrued income, realized/unrealized gain/loss, cash balances, fees, taxes and AUM for each trust/IMA account.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 user can generate valuation as of any business date and reconcile total account value to holdings, cash and pending transactions.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G1-REQ-009</w:t>
              <w:br/>
              <w:t>Fee and charge calculation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calculate trustee fees, investment management fees, custody fees, transaction charges, minimum fees, tiered AUM-based fees, ad hoc charges, VAT and applicable withholding/tax amounts based on configurable schedules.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Fee calculations show basis, rate, period, amount, currency, tax and posting status, and can be reviewed before billing/posting.</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G1-REQ-010</w:t>
              <w:br/>
              <w:t>Account lifecycle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account amendment, beneficiary change, mandate change, temporary hold, suspension, death/incapacity processing, transfer, termination, closure and archive, subject to workflow approval and document evidence.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Lifecycle status changes are reversible only through authorized correction workflows and preserve complete historical and financial records.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G1-REQ-011</w:t>
              <w:br/>
              <w:t>PMT-specific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For Personal Management Trust, the system shall support personal asset administration, beneficiary payment schedules, guardianship or representative authority, living expenses, education/medical disbursement categories and client-specific restrictions.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PMT account reports show beneficiary schedule, approved disbursements, remaining assets and exceptions against instructions.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G1-REQ-012</w:t>
              <w:br/>
              <w:t>IMA-specific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For IMA, the system shall distinguish discretionary, non-discretionary and advisory mandates, capture client investment instructions, maintain investment manager authority and route trade instructions through approved workflow.</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Trade or portfolio actions are blocked or flagged when outside the IMA mandate or authority matrix.</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G1-REQ-013</w:t>
              <w:br/>
              <w:t>Pre-Need Trust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For Pre-Need Trust, the system shall maintain plan sponsor/provider, trust fund identification, contribution schedules, benefit obligation references, actuarial or reserve data fields as configured by the bank, and reporting to sponsor and trustee stakeholders.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can reconcile sponsor contributions, trust fund assets and benefit-related disbursements by plan and period.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G1-REQ-014</w:t>
              <w:br/>
              <w:t>Employee Benefit Trust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For Employee Benefit Trust, the system shall maintain employer sponsor, plan rules, member population, vesting rules or import, employer/employee contributions, benefit claims, forfeitures and participant-level allocations where required.</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Benefit payment processing validates eligibility and produces member/plan-level transaction and balance reports.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G1-REQ-015</w:t>
              <w:br/>
              <w:t>Trust department governance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enforce segregation between trust operations and other bank functions through role-based access, functional entitlements, maker-checker, approval limits and audit trails aligned to bank governance policies.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in non-trust roles cannot create, approve or modify trust accounts unless explicitly assigned approved trust entitlements.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G1-REQ-016</w:t>
              <w:br/>
              <w:t>Periodic review and account health</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periodic account reviews, KYC refresh, mandate review, risk profile review, fee review, dormant/inactive account monitoring and exception remediation.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dashboard lists accounts due or overdue for review, responsible owner, due date, exception category and closure status.</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Trust and IMA accounts must remain operationally and functionally segregated from the bank's own treasury/proprietary business according to the bank's trust governance model.</w:t>
      </w:r>
    </w:p>
    <w:p>
      <w:pPr>
        <w:pStyle w:val="ListBullet"/>
      </w:pPr>
      <w:r>
        <w:rPr>
          <w:rFonts w:ascii="Liberation Sans" w:hAnsi="Liberation Sans"/>
          <w:sz w:val="18"/>
        </w:rPr>
        <w:t>Activation requires complete CDD/KYC, risk profile, product disclosures, mandatory documents, funding instructions and appropriate approvals.</w:t>
      </w:r>
    </w:p>
    <w:p>
      <w:pPr>
        <w:pStyle w:val="ListBullet"/>
      </w:pPr>
      <w:r>
        <w:rPr>
          <w:rFonts w:ascii="Liberation Sans" w:hAnsi="Liberation Sans"/>
          <w:sz w:val="18"/>
        </w:rPr>
        <w:t>Mandate, product and instrument restrictions must be enforceable during order capture and monitored after posting.</w:t>
      </w:r>
    </w:p>
    <w:p>
      <w:pPr>
        <w:pStyle w:val="ListBullet"/>
      </w:pPr>
      <w:r>
        <w:rPr>
          <w:rFonts w:ascii="Liberation Sans" w:hAnsi="Liberation Sans"/>
          <w:sz w:val="18"/>
        </w:rPr>
        <w:t>All account amendments, beneficiary changes, disbursements, price overrides and closure events require maker-checker or higher approval based on risk and amount.</w:t>
      </w:r>
    </w:p>
    <w:p>
      <w:pPr>
        <w:pStyle w:val="ListBullet"/>
      </w:pPr>
      <w:r>
        <w:rPr>
          <w:rFonts w:ascii="Liberation Sans" w:hAnsi="Liberation Sans"/>
          <w:sz w:val="18"/>
        </w:rPr>
        <w:t>Historical terms, fees and mandates must remain available for any back-dated valuation or audit inquiry.</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Party/CIF, account, product, mandate, portfolio, cash account, beneficiary, plan/member, document, fee schedule, tax profile, workflow, approval and audit-log entities.</w:t>
      </w:r>
    </w:p>
    <w:p>
      <w:pPr>
        <w:pStyle w:val="ListBullet"/>
      </w:pPr>
      <w:r>
        <w:rPr>
          <w:rFonts w:ascii="Liberation Sans" w:hAnsi="Liberation Sans"/>
          <w:sz w:val="18"/>
        </w:rPr>
        <w:t>Effective dates for all roles, mandates, fees, product parameters, beneficiary schedules and authority records.</w:t>
      </w:r>
    </w:p>
    <w:p>
      <w:pPr>
        <w:pStyle w:val="ListBullet"/>
      </w:pPr>
      <w:r>
        <w:rPr>
          <w:rFonts w:ascii="Liberation Sans" w:hAnsi="Liberation Sans"/>
          <w:sz w:val="18"/>
        </w:rPr>
        <w:t>Support for multiple currencies, reporting currencies, account/fund hierarchy and account consolidation by client, household or corporate group.</w:t>
      </w:r>
    </w:p>
    <w:p>
      <w:pPr>
        <w:pStyle w:val="Heading2"/>
      </w:pPr>
      <w:r>
        <w:rPr>
          <w:rFonts w:ascii="Liberation Sans" w:hAnsi="Liberation Sans"/>
          <w:color w:val="2F5496"/>
          <w:sz w:val="26"/>
        </w:rPr>
        <w:t>Key Integrations</w:t>
      </w:r>
    </w:p>
    <w:p>
      <w:pPr>
        <w:pStyle w:val="ListBullet"/>
      </w:pPr>
      <w:r>
        <w:rPr>
          <w:rFonts w:ascii="Liberation Sans" w:hAnsi="Liberation Sans"/>
          <w:sz w:val="18"/>
        </w:rPr>
        <w:t>Core banking/deposit accounts for funding and settlement.</w:t>
      </w:r>
    </w:p>
    <w:p>
      <w:pPr>
        <w:pStyle w:val="ListBullet"/>
      </w:pPr>
      <w:r>
        <w:rPr>
          <w:rFonts w:ascii="Liberation Sans" w:hAnsi="Liberation Sans"/>
          <w:sz w:val="18"/>
        </w:rPr>
        <w:t>AML/CDD, sanctions and PEP screening.</w:t>
      </w:r>
    </w:p>
    <w:p>
      <w:pPr>
        <w:pStyle w:val="ListBullet"/>
      </w:pPr>
      <w:r>
        <w:rPr>
          <w:rFonts w:ascii="Liberation Sans" w:hAnsi="Liberation Sans"/>
          <w:sz w:val="18"/>
        </w:rPr>
        <w:t>Document management/e-signature, CRM, market data, portfolio accounting, payment rails, GL and reporting/data warehouse.</w:t>
      </w:r>
    </w:p>
    <w:p>
      <w:pPr>
        <w:pStyle w:val="ListBullet"/>
      </w:pPr>
      <w:r>
        <w:rPr>
          <w:rFonts w:ascii="Liberation Sans" w:hAnsi="Liberation Sans"/>
          <w:sz w:val="18"/>
        </w:rPr>
        <w:t>Custodian/broker interfaces for positions, trades and corporate actions when trust assets are externally custodied.</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Account opening and pending-document report.</w:t>
      </w:r>
    </w:p>
    <w:p>
      <w:pPr>
        <w:pStyle w:val="ListBullet"/>
      </w:pPr>
      <w:r>
        <w:rPr>
          <w:rFonts w:ascii="Liberation Sans" w:hAnsi="Liberation Sans"/>
          <w:sz w:val="18"/>
        </w:rPr>
        <w:t>AUM by product/client/RM, valuation statement, transaction statement, fee billing report and income/disbursement report.</w:t>
      </w:r>
    </w:p>
    <w:p>
      <w:pPr>
        <w:pStyle w:val="ListBullet"/>
      </w:pPr>
      <w:r>
        <w:rPr>
          <w:rFonts w:ascii="Liberation Sans" w:hAnsi="Liberation Sans"/>
          <w:sz w:val="18"/>
        </w:rPr>
        <w:t>Mandate breach, overdue review, KYC refresh, beneficiary schedule, PMT disbursement, IMA performance, pre-need fund and employee benefit trust reports.</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Account inquiry response target: under 3 seconds for standard balances and under 10 seconds for valuation statements under normal load.</w:t>
      </w:r>
    </w:p>
    <w:p>
      <w:pPr>
        <w:pStyle w:val="ListBullet"/>
      </w:pPr>
      <w:r>
        <w:rPr>
          <w:rFonts w:ascii="Liberation Sans" w:hAnsi="Liberation Sans"/>
          <w:sz w:val="18"/>
        </w:rPr>
        <w:t>Full auditability for account creation, amendments, document changes, payments and approvals.</w:t>
      </w:r>
    </w:p>
    <w:p>
      <w:pPr>
        <w:pStyle w:val="ListBullet"/>
      </w:pPr>
      <w:r>
        <w:rPr>
          <w:rFonts w:ascii="Liberation Sans" w:hAnsi="Liberation Sans"/>
          <w:sz w:val="18"/>
        </w:rPr>
        <w:t>Data confidentiality, masking and access entitlement at account and party-role level.</w:t>
      </w:r>
    </w:p>
    <w:p>
      <w:r>
        <w:br w:type="page"/>
      </w:r>
    </w:p>
    <w:p>
      <w:pPr>
        <w:pStyle w:val="Heading1"/>
      </w:pPr>
      <w:r>
        <w:rPr>
          <w:rFonts w:ascii="Liberation Sans" w:hAnsi="Liberation Sans"/>
          <w:color w:val="1F4E79"/>
          <w:sz w:val="32"/>
        </w:rPr>
        <w:t>BRD-02 - UITF Fund Operations &amp; Distribution</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G2</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Support end-to-end UITF lifecycle from fund setup and regulatory documentation through subscription, redemption, NAVPU calculation, unit-holder registry, branch/RM distribution and participant reporting.</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Unit Investment Trust Fund - UITF</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Fund participant; Branch UITF user; Relationship manager; UITF operations; Fund accountant; Trust officer; Investment manager; Compliance; Risk management; Auditor</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Create and maintain UITF fund master, plan rules, KIIDS/factsheets, benchmark, base currency, valuation policy and distribution policy.</w:t>
      </w:r>
    </w:p>
    <w:p>
      <w:pPr>
        <w:pStyle w:val="ListNumber"/>
      </w:pPr>
      <w:r>
        <w:rPr>
          <w:rFonts w:ascii="Liberation Sans" w:hAnsi="Liberation Sans"/>
          <w:sz w:val="18"/>
        </w:rPr>
        <w:t>Assess client suitability and capture subscription/redemption orders through branch, RM, client web or mobile channel.</w:t>
      </w:r>
    </w:p>
    <w:p>
      <w:pPr>
        <w:pStyle w:val="ListNumber"/>
      </w:pPr>
      <w:r>
        <w:rPr>
          <w:rFonts w:ascii="Liberation Sans" w:hAnsi="Liberation Sans"/>
          <w:sz w:val="18"/>
        </w:rPr>
        <w:t>Apply cut-off, pricing date, fees, taxes and settlement rules; update unit-holder registry and cash ledger.</w:t>
      </w:r>
    </w:p>
    <w:p>
      <w:pPr>
        <w:pStyle w:val="ListNumber"/>
      </w:pPr>
      <w:r>
        <w:rPr>
          <w:rFonts w:ascii="Liberation Sans" w:hAnsi="Liberation Sans"/>
          <w:sz w:val="18"/>
        </w:rPr>
        <w:t>Calculate fund accounting results, NAV and NAVPU; publish approved prices and reports.</w:t>
      </w:r>
    </w:p>
    <w:p>
      <w:pPr>
        <w:pStyle w:val="ListNumber"/>
      </w:pPr>
      <w:r>
        <w:rPr>
          <w:rFonts w:ascii="Liberation Sans" w:hAnsi="Liberation Sans"/>
          <w:sz w:val="18"/>
        </w:rPr>
        <w:t>Monitor investment limits, participant disclosures, operational exceptions and audit history.</w:t>
      </w:r>
    </w:p>
    <w:p>
      <w:pPr>
        <w:pStyle w:val="Heading2"/>
      </w:pPr>
      <w:r>
        <w:rPr>
          <w:rFonts w:ascii="Liberation Sans" w:hAnsi="Liberation Sans"/>
          <w:color w:val="2F5496"/>
          <w:sz w:val="26"/>
        </w:rPr>
        <w:t>Source One-Liners in Scope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Detail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Support/availability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Unit Investment Trust Fund - UITF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bl>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UITF is a fund operation capability with participant order capture, suitability, fund accounting, NAV/NAVPU approval, registry, disclosure and branch/channel distribution requirements. It should not be implemented merely as a generic investment holding because unit registry and pricing controls are central to the business process.</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G2-REQ-001</w:t>
              <w:br/>
              <w:t>UITF fund master setup</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UITF fund master data including fund name, fund code, category, objective, risk classification, base currency, valuation calendar, subscription/redemption cut-off, minimum investment, fee schedule, benchmark, plan rules, KIIDS/factsheet and distribution policy.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 fund cannot accept orders until mandatory fund master, plan rules, valuation calendar, settlement instructions and approval status are complete.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G2-REQ-002</w:t>
              <w:br/>
              <w:t>Regulatory and board approval workflow</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workflow for new UITF creation, plan-rule amendment, KIIDS/factsheet approval and regulatory notification/approval document tracking, including board approval, compliance sign-off and effective date.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Each fund has a versioned regulatory document pack with approval trail and effective version used for client disclosure.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G2-REQ-003</w:t>
              <w:br/>
              <w:t>Client suitability and disclosure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risk profile, investment horizon, suitability result, client acknowledgement, product disclosure receipt and any channel-specific consent before allowing UITF order placement.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Order placement is blocked or requires exception approval when the UITF risk class is outside the client profile or mandatory disclosure is missing.</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G2-REQ-004</w:t>
              <w:br/>
              <w:t>Subscription order capture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UITF subscriptions by client, account, fund, amount, channel, value date, settlement account, cut-off status, fee/tax, source of funds and required approvals.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Accepted subscription orders automatically calculate estimated units, final units after NAVPU approval, settlement entries and participant registry update.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G2-REQ-005</w:t>
              <w:br/>
              <w:t>Redemption and cancellation processing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full/partial redemption, cancellation, reversal and correction requests with units/amount, cut-off, pricing date, settlement account, fees, withholding/tax and approval history.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Redemption cannot settle beyond available cleared units and generates participant notification and cash/payment instruction after final NAVPU.</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G2-REQ-006</w:t>
              <w:br/>
              <w:t>NAV and NAVPU calculation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calculate fund NAV and NAVPU based on approved holdings valuation, cash, receivables/payables, accrued income, accrued expenses, fees, taxes and outstanding units.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NAVPU calculation provides drill-down proof from holdings/cash/accruals to final NAV and unit price; publication requires maker-checker approval.</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G2-REQ-007</w:t>
              <w:br/>
              <w:t>Unit-holder registry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a complete registry of participants, unit balances, transaction history, average cost or applicable basis, statements, certificates/confirmations and contact/distribution preferences.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Registry balances reconcile to total outstanding fund units and transaction postings at end of day.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G2-REQ-008</w:t>
              <w:br/>
              <w:t>Branch-level UITF access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allow branch users to perform permitted UITF functions, including client lookup, KYC/suitability verification, subscription/redemption capture, document upload and receipt printing, subject to branch role and limits.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Branch users cannot access non-entitled clients/accounts and all branch transactions are traceable to branch, user, channel and device.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G2-REQ-009</w:t>
              <w:br/>
              <w:t>Fund investment compliance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monitor each UITF against plan-rule limits, permitted instruments, issuer/counterparty concentration, liquidity, currency exposure and investment restrictions.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Compliance breaches are flagged with severity, impacted fund, rule, exposure, limit, excess amount, owner and resolution status.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G2-REQ-010</w:t>
              <w:br/>
              <w:t>Distribution/unit-paying fund support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funds that distribute income or reinvest distributions, including record date, ex-date, payment date, unit income calculation, participant entitlement and cash/unit posting.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Distribution runs produce participant entitlement report and accounting entries reconciling to approved distributable income.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G2-REQ-011</w:t>
              <w:br/>
              <w:t>Statements, factsheets and participant reporting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generate UITF confirmations, periodic statements, fund factsheets/KIIDS data extracts, transaction history, performance and regulatory/management reports.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Reports are generated for a selected fund, participant, period and channel; figures reconcile to approved NAV and registry records.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G2-REQ-012</w:t>
              <w:br/>
              <w:t>Settlement and reconciliation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interface UITF cash movements with core banking/payment systems and reconcile subscriptions, redemptions, fees, units and GL balances.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End-of-day reconciliation highlights unmatched cash, unit and GL items with aging, owner and reason code.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G2-REQ-013</w:t>
              <w:br/>
              <w:t>Operational exceptions and cut-off controls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enforce fund cut-off, holiday calendar, late-order rules, back-dated correction controls and authorization levels for exceptions.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Any exception is captured with reason, approval, audit trail and reporting to compliance/operations management.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G2-REQ-014</w:t>
              <w:br/>
              <w:t>Client portal/mobile visibility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expose approved UITF balances, NAVPU, performance, statements, confirmations and eligible order actions to client portal/mobile channels based on client consent and entitlement.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Client channel values match back-office approved data and display as-of date, disclaimer, fund risk class and next cut-off.</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UITF orders must apply fund calendar, cut-off time, valuation date, settlement date, minimum subscription/redemption, available units and client suitability rules.</w:t>
      </w:r>
    </w:p>
    <w:p>
      <w:pPr>
        <w:pStyle w:val="ListBullet"/>
      </w:pPr>
      <w:r>
        <w:rPr>
          <w:rFonts w:ascii="Liberation Sans" w:hAnsi="Liberation Sans"/>
          <w:sz w:val="18"/>
        </w:rPr>
        <w:t>NAV/NAVPU cannot be published until valuation, cash, holdings, accruals and unit registry are reconciled and approved.</w:t>
      </w:r>
    </w:p>
    <w:p>
      <w:pPr>
        <w:pStyle w:val="ListBullet"/>
      </w:pPr>
      <w:r>
        <w:rPr>
          <w:rFonts w:ascii="Liberation Sans" w:hAnsi="Liberation Sans"/>
          <w:sz w:val="18"/>
        </w:rPr>
        <w:t>Client disclosures, KIIDS/factsheet versions and risk classification must be linked to each order where required.</w:t>
      </w:r>
    </w:p>
    <w:p>
      <w:pPr>
        <w:pStyle w:val="ListBullet"/>
      </w:pPr>
      <w:r>
        <w:rPr>
          <w:rFonts w:ascii="Liberation Sans" w:hAnsi="Liberation Sans"/>
          <w:sz w:val="18"/>
        </w:rPr>
        <w:t>Plan rules and investment restrictions must be versioned and linked to compliance checks for the effective period.</w:t>
      </w:r>
    </w:p>
    <w:p>
      <w:pPr>
        <w:pStyle w:val="ListBullet"/>
      </w:pPr>
      <w:r>
        <w:rPr>
          <w:rFonts w:ascii="Liberation Sans" w:hAnsi="Liberation Sans"/>
          <w:sz w:val="18"/>
        </w:rPr>
        <w:t>Branch-initiated orders must carry branch/user/channel provenance and follow bank approval thresholds.</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UITF fund master, fund class/series, plan rules, KIIDS/factsheet, NAV/NAVPU, participant, unit balance, order, registry transaction, valuation, compliance rule and distribution entities.</w:t>
      </w:r>
    </w:p>
    <w:p>
      <w:pPr>
        <w:pStyle w:val="ListBullet"/>
      </w:pPr>
      <w:r>
        <w:rPr>
          <w:rFonts w:ascii="Liberation Sans" w:hAnsi="Liberation Sans"/>
          <w:sz w:val="18"/>
        </w:rPr>
        <w:t>Fund calendars, holidays, cut-off times, pricing basis, fee/tax parameters, risk classification, settlement instructions and fund document versions.</w:t>
      </w:r>
    </w:p>
    <w:p>
      <w:pPr>
        <w:pStyle w:val="ListBullet"/>
      </w:pPr>
      <w:r>
        <w:rPr>
          <w:rFonts w:ascii="Liberation Sans" w:hAnsi="Liberation Sans"/>
          <w:sz w:val="18"/>
        </w:rPr>
        <w:t>Unit-holder registry must reconcile to total outstanding units and fund accounting records.</w:t>
      </w:r>
    </w:p>
    <w:p>
      <w:pPr>
        <w:pStyle w:val="Heading2"/>
      </w:pPr>
      <w:r>
        <w:rPr>
          <w:rFonts w:ascii="Liberation Sans" w:hAnsi="Liberation Sans"/>
          <w:color w:val="2F5496"/>
          <w:sz w:val="26"/>
        </w:rPr>
        <w:t>Key Integrations</w:t>
      </w:r>
    </w:p>
    <w:p>
      <w:pPr>
        <w:pStyle w:val="ListBullet"/>
      </w:pPr>
      <w:r>
        <w:rPr>
          <w:rFonts w:ascii="Liberation Sans" w:hAnsi="Liberation Sans"/>
          <w:sz w:val="18"/>
        </w:rPr>
        <w:t>Core banking/payment systems for settlement accounts and cash movement.</w:t>
      </w:r>
    </w:p>
    <w:p>
      <w:pPr>
        <w:pStyle w:val="ListBullet"/>
      </w:pPr>
      <w:r>
        <w:rPr>
          <w:rFonts w:ascii="Liberation Sans" w:hAnsi="Liberation Sans"/>
          <w:sz w:val="18"/>
        </w:rPr>
        <w:t>Market data/portfolio accounting for fund valuation.</w:t>
      </w:r>
    </w:p>
    <w:p>
      <w:pPr>
        <w:pStyle w:val="ListBullet"/>
      </w:pPr>
      <w:r>
        <w:rPr>
          <w:rFonts w:ascii="Liberation Sans" w:hAnsi="Liberation Sans"/>
          <w:sz w:val="18"/>
        </w:rPr>
        <w:t>Portal/RM/branch channels for order capture and inquiry.</w:t>
      </w:r>
    </w:p>
    <w:p>
      <w:pPr>
        <w:pStyle w:val="ListBullet"/>
      </w:pPr>
      <w:r>
        <w:rPr>
          <w:rFonts w:ascii="Liberation Sans" w:hAnsi="Liberation Sans"/>
          <w:sz w:val="18"/>
        </w:rPr>
        <w:t>GL, regulatory reporting, document management and notification systems.</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Daily NAV/NAVPU proof report, unit-holder registry, subscription/redemption blotter, fund cash reconciliation, participant statement, fund performance/factsheet data and investment breach report.</w:t>
      </w:r>
    </w:p>
    <w:p>
      <w:pPr>
        <w:pStyle w:val="ListBullet"/>
      </w:pPr>
      <w:r>
        <w:rPr>
          <w:rFonts w:ascii="Liberation Sans" w:hAnsi="Liberation Sans"/>
          <w:sz w:val="18"/>
        </w:rPr>
        <w:t>Branch sales report, exception report and audit report for late orders, overrides and reversals.</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NAV process must support controlled rerun with snapshot preservation.</w:t>
      </w:r>
    </w:p>
    <w:p>
      <w:pPr>
        <w:pStyle w:val="ListBullet"/>
      </w:pPr>
      <w:r>
        <w:rPr>
          <w:rFonts w:ascii="Liberation Sans" w:hAnsi="Liberation Sans"/>
          <w:sz w:val="18"/>
        </w:rPr>
        <w:t>UITF order capture must remain auditable and enforce cut-off under high-volume branch/channel scenarios.</w:t>
      </w:r>
    </w:p>
    <w:p>
      <w:pPr>
        <w:pStyle w:val="ListBullet"/>
      </w:pPr>
      <w:r>
        <w:rPr>
          <w:rFonts w:ascii="Liberation Sans" w:hAnsi="Liberation Sans"/>
          <w:sz w:val="18"/>
        </w:rPr>
        <w:t>Participant-facing balances must display as-of date and approved NAVPU only.</w:t>
      </w:r>
    </w:p>
    <w:p>
      <w:r>
        <w:br w:type="page"/>
      </w:r>
    </w:p>
    <w:p>
      <w:pPr>
        <w:pStyle w:val="Heading1"/>
      </w:pPr>
      <w:r>
        <w:rPr>
          <w:rFonts w:ascii="Liberation Sans" w:hAnsi="Liberation Sans"/>
          <w:color w:val="1F4E79"/>
          <w:sz w:val="32"/>
        </w:rPr>
        <w:t>BRD-03 - Investment Instruments, Portfolio Operations &amp; Valuation</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G3</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Provide a cross-asset instrument master, trade capture, settlement, valuation, accounting and compliance engine for the underlying assets held in trust, IMA, UITF and fiduciary portfolios.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Deposits, fixed income, equities, structured products, collective investment schemes, currencies, derivatives, commodities, alternatives, collateral, repos and back-to-back arrangements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Portfolio manager; Dealer/trader; Investment operations; Custody operations; Fund accountant; Risk management; Compliance; Finance/GL; Market data administrator; Auditor</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Set up instrument/security master and reference data for each supported asset class.</w:t>
      </w:r>
    </w:p>
    <w:p>
      <w:pPr>
        <w:pStyle w:val="ListNumber"/>
      </w:pPr>
      <w:r>
        <w:rPr>
          <w:rFonts w:ascii="Liberation Sans" w:hAnsi="Liberation Sans"/>
          <w:sz w:val="18"/>
        </w:rPr>
        <w:t>Capture trades, cash movements and collateral events with maker-checker and pre-trade checks.</w:t>
      </w:r>
    </w:p>
    <w:p>
      <w:pPr>
        <w:pStyle w:val="ListNumber"/>
      </w:pPr>
      <w:r>
        <w:rPr>
          <w:rFonts w:ascii="Liberation Sans" w:hAnsi="Liberation Sans"/>
          <w:sz w:val="18"/>
        </w:rPr>
        <w:t>Receive confirmations, settle trades, reconcile with custodians, brokers, depositories and internal cash/GL systems.</w:t>
      </w:r>
    </w:p>
    <w:p>
      <w:pPr>
        <w:pStyle w:val="ListNumber"/>
      </w:pPr>
      <w:r>
        <w:rPr>
          <w:rFonts w:ascii="Liberation Sans" w:hAnsi="Liberation Sans"/>
          <w:sz w:val="18"/>
        </w:rPr>
        <w:t>Price instruments, calculate income/accruals, amortization, realized/unrealized P&amp;L and market value.</w:t>
      </w:r>
    </w:p>
    <w:p>
      <w:pPr>
        <w:pStyle w:val="ListNumber"/>
      </w:pPr>
      <w:r>
        <w:rPr>
          <w:rFonts w:ascii="Liberation Sans" w:hAnsi="Liberation Sans"/>
          <w:sz w:val="18"/>
        </w:rPr>
        <w:t>Monitor investment restrictions, maturity ladders, counterparty/issuer limits, collateral coverage and exceptions.</w:t>
      </w:r>
    </w:p>
    <w:p>
      <w:pPr>
        <w:pStyle w:val="Heading2"/>
      </w:pPr>
      <w:r>
        <w:rPr>
          <w:rFonts w:ascii="Liberation Sans" w:hAnsi="Liberation Sans"/>
          <w:color w:val="2F5496"/>
          <w:sz w:val="26"/>
        </w:rPr>
        <w:t>Source One-Liners in Scope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Detail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Support/availability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Deposits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Time Deposit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Fixed Income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Corporate Bonds, Government Securities, Corporate Bonds, Tier 2, etc</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Equities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Preferred Shares, Common Shares, Private Equity, Non-Equity REITS, Non-Listed Equities, INMES ( Investment in a Non-Marketable Equity Security)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Structured Products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Combination of two or more separate stand‐alone derivatives contracts, or stand‐alone derivatives contract/s and a plain vanilla cash instrument, where the instruments are offered or distributed together.</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R20</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Collective  Investment Schemes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ETFs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R21</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Collective  Investment Schemes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UITFs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Collective  Investment Schemes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Foreign Exchange spots, forwards, NDFs, swaps, etc</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R23</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Currencies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R24</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 plain vanilla interest rate swaps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R25</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 plain vanilla cross currency swaps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 plain vanilla total return swaps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 plain vanilla credit default swaps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 FX forwards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R29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 FX options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R30</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g. bond forwards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R31</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h. bond futures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i. bond options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R33</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j. equity warrants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R34</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Derivatives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k. equity options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R35</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Commodities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e.g. Gold, Silver</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Alternate Investments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Real Estate, Life Insurance Policies and other Accountable Forms, Employee Loans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Collateral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Margin Finance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Collateral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Mortgage Collateral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R39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Collateral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Repos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R40</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Collateral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Back to Back</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bl>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The underlying asset scope is broad and includes standard securities plus instruments that often require richer data and valuation design, such as structured products, derivatives, non-listed equities, alternative assets, collateral and repos. The system must be able to separate out OOTB, configurable and custom asset classes while maintaining one portfolio accounting and compliance view.</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G3-REQ-001</w:t>
              <w:br/>
              <w:t>Cross-asset instrument master</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security/instrument master data for deposits, time deposits, government and corporate securities, bonds, equities, REITs, ETFs, UITFs, structured products, currencies, derivatives, commodities, alternative assets, loans, collateral, repos and back-to-back arrangements.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Instrument records contain type-specific mandatory fields and can be searched by identifier, issuer/counterparty, currency, maturity, market, risk class and eligibility.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G3-REQ-002</w:t>
              <w:br/>
              <w:t>Product taxonomy and support-status handling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classify each underlying investment product by asset class, sub-asset class, support mode (OOTB, configuration, customization), valuation method, settlement process and risk attributes.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Fit-gap reports identify items requiring configuration/customization and link them to implementation tasks and test cases.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G3-REQ-003</w:t>
              <w:br/>
              <w:t>Trade capture and lifecycle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purchase, sale, maturity, rollover, coupon/dividend, redemption, exercise, expiry, assignment, settlement, cancellation, correction and corporate-action events for relevant asset classes.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Every trade/event has status, source, maker/checker, client/account/fund allocation, cash impact, accounting impact and audit trail.</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G3-REQ-004</w:t>
              <w:br/>
              <w:t>Deposits and time deposit processing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placement, rollover, interest accrual, withholding/tax, maturity, early termination and settlement of deposits and time deposits used as trust investments.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Deposit positions show principal, rate, start/maturity date, accrued interest, counterparty bank and expected maturity proceeds.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G3-REQ-005</w:t>
              <w:br/>
              <w:t>Fixed income processing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fixed income instruments including government securities, corporate bonds, Tier 2 instruments and similar debt, with coupon schedule, day count, amortization/accretion, clean/dirty price, yield, maturity and call/put features.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Valuation and income reports reconcile coupon accrual and market value by instrument, account/fund and date.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G3-REQ-006</w:t>
              <w:br/>
              <w:t>Equity and corporate action processing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listed and non-listed equities, preferred/common shares, private equity, REIT-related holdings and INMES, including dividends, stock splits, rights, subscriptions, tender, proxy and valuation override process for non-marketable assets.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Corporate actions produce entitlement reports and cash/security postings after approval.</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G3-REQ-007</w:t>
              <w:br/>
              <w:t>Structured product modeling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structured product terms, underlying components, payoff description, issuer, maturity, barrier/trigger fields where applicable, valuation source and risk disclosures.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can view component-level details and generate maturity/trigger monitoring report.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G3-REQ-008</w:t>
              <w:br/>
              <w:t>Collective investment schemes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ETF, UITF and other collective investment scheme holdings with fund identifiers, units, NAV/NAVPU price source, subscription/redemption settlement, fees and performance 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Holdings use approved unit prices and reconcile units/value to external fund confirmations.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G3-REQ-009</w:t>
              <w:br/>
              <w:t>Currency and FX handling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multi-currency cash, FX rates, currency exposure reporting, FX spot, FX forward, NDF, FX swap and related settlement flows subject to bank configuration/customization scope.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Portfolio values can be reported in local, base and reporting currency using approved rates with source and timestamp.</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G3-REQ-010</w:t>
              <w:br/>
              <w:t>Derivative trade support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derivative records for plain vanilla IRS, cross-currency swaps, total return swaps, credit default swaps, FX forwards/options, bond forwards/futures/options, equity warrants and equity options based on fit-gap status and product enablement.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 records capture notional, counterparty, effective/maturity dates, underlying, reset/payment schedules, margin/collateral, valuation source, settlement and lifecycle events.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G3-REQ-011</w:t>
              <w:br/>
              <w:t>Commodity and alternative investment support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commodities such as gold and silver and alternative assets such as real estate, life insurance policies, accountable forms and employee loans with appropriate custody, valuation, income and safekeeping metadata.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Alternative asset records support periodic valuation review, document evidence, insurance/renewal/inspection dates and exception status.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G3-REQ-012</w:t>
              <w:br/>
              <w:t>Collateral, repo and back-to-back processing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collateral records for margin finance, mortgage collateral, repos and back-to-back structures, including pledged asset, valuation, haircut, margin call, release condition, maturity and linkage to exposure.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Collateral coverage report shows exposure, pledged value, haircut, excess/shortfall and pending margin actions.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G3-REQ-013</w:t>
              <w:br/>
              <w:t>Pricing and valuation hierarchy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price sources, FX rates, yield curves, valuation models, manual price overrides, approval workflow and stale-price controls for all asset classes.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Valuation run flags missing/stale prices and stores source, timestamp, approver and override reason.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G3-REQ-014</w:t>
              <w:br/>
              <w:t>Investment compliance monitoring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enforce pre-trade and post-trade rules for client mandate, fund plan rules, issuer/counterparty concentration, asset eligibility, liquidity, maturity, currency, credit quality and internal prohibited lists.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Compliance exceptions are visible by portfolio/fund, rule, severity, owner and resolution SLA.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G3-REQ-015</w:t>
              <w:br/>
              <w:t>Custody, settlement and reconciliation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interface with custodians, brokers, depositories, payment systems and core banking to reconcile trades, positions, cash, income, fees and GL entries.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Daily reconciliation reports categorize breaks as timing, price, quantity, cash, corporate action or reference-data breaks.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G3-REQ-016</w:t>
              <w:br/>
              <w:t>Performance and risk analytics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calculate portfolio return, income return, capital return, realized/unrealized P&amp;L, duration/maturity ladder, concentration, liquidity and currency exposure at account, fund and consolidated levels.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Analytics are reproducible by date range and reconcile to accounting positions and market values.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G3-REQ-017</w:t>
              <w:br/>
              <w:t>Asset-class reporting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holdings, transactions, maturity, income, exposure, collateral, derivative, structured product, alternative asset and exception reports with export/API capability.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Reports can be filtered by client, account, fund, asset class, issuer, counterparty, currency and valuation date.</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Only instruments eligible for the account/fund mandate and approved product catalogue may be traded or held.</w:t>
      </w:r>
    </w:p>
    <w:p>
      <w:pPr>
        <w:pStyle w:val="ListBullet"/>
      </w:pPr>
      <w:r>
        <w:rPr>
          <w:rFonts w:ascii="Liberation Sans" w:hAnsi="Liberation Sans"/>
          <w:sz w:val="18"/>
        </w:rPr>
        <w:t>Pricing must follow approved hierarchy and stale-price thresholds; manual overrides require reason and independent approval.</w:t>
      </w:r>
    </w:p>
    <w:p>
      <w:pPr>
        <w:pStyle w:val="ListBullet"/>
      </w:pPr>
      <w:r>
        <w:rPr>
          <w:rFonts w:ascii="Liberation Sans" w:hAnsi="Liberation Sans"/>
          <w:sz w:val="18"/>
        </w:rPr>
        <w:t>Trade allocations must not exceed available cash, available units/securities or mandate restrictions unless an authorized exception workflow exists.</w:t>
      </w:r>
    </w:p>
    <w:p>
      <w:pPr>
        <w:pStyle w:val="ListBullet"/>
      </w:pPr>
      <w:r>
        <w:rPr>
          <w:rFonts w:ascii="Liberation Sans" w:hAnsi="Liberation Sans"/>
          <w:sz w:val="18"/>
        </w:rPr>
        <w:t>Derivative, structured product, non-listed equity and alternative investment data requirements must be fit-gapped before build due to higher complexity and customization status.</w:t>
      </w:r>
    </w:p>
    <w:p>
      <w:pPr>
        <w:pStyle w:val="ListBullet"/>
      </w:pPr>
      <w:r>
        <w:rPr>
          <w:rFonts w:ascii="Liberation Sans" w:hAnsi="Liberation Sans"/>
          <w:sz w:val="18"/>
        </w:rPr>
        <w:t>Position, cash and GL reconciliation breaks must be aged, owned and closed before period-end reporting.</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Security/instrument master, issuer/counterparty, trade, allocation, settlement, holding, price, FX rate, accrual, corporate action, derivative schedule, collateral, repo, exposure and compliance-breach entities.</w:t>
      </w:r>
    </w:p>
    <w:p>
      <w:pPr>
        <w:pStyle w:val="ListBullet"/>
      </w:pPr>
      <w:r>
        <w:rPr>
          <w:rFonts w:ascii="Liberation Sans" w:hAnsi="Liberation Sans"/>
          <w:sz w:val="18"/>
        </w:rPr>
        <w:t>Type-specific reference data such as coupon schedule, maturity, ISIN/local identifier, exchange, option terms, swap reset/payment schedule, underlying, collateral haircut and valuation source.</w:t>
      </w:r>
    </w:p>
    <w:p>
      <w:pPr>
        <w:pStyle w:val="ListBullet"/>
      </w:pPr>
      <w:r>
        <w:rPr>
          <w:rFonts w:ascii="Liberation Sans" w:hAnsi="Liberation Sans"/>
          <w:sz w:val="18"/>
        </w:rPr>
        <w:t>Valuation snapshot and audit tables to preserve prior-period reporting.</w:t>
      </w:r>
    </w:p>
    <w:p>
      <w:pPr>
        <w:pStyle w:val="Heading2"/>
      </w:pPr>
      <w:r>
        <w:rPr>
          <w:rFonts w:ascii="Liberation Sans" w:hAnsi="Liberation Sans"/>
          <w:color w:val="2F5496"/>
          <w:sz w:val="26"/>
        </w:rPr>
        <w:t>Key Integrations</w:t>
      </w:r>
    </w:p>
    <w:p>
      <w:pPr>
        <w:pStyle w:val="ListBullet"/>
      </w:pPr>
      <w:r>
        <w:rPr>
          <w:rFonts w:ascii="Liberation Sans" w:hAnsi="Liberation Sans"/>
          <w:sz w:val="18"/>
        </w:rPr>
        <w:t>Order management/trading, brokers, custodians, depositories, market data, pricing engines/models, core banking/cash, GL, risk/compliance and data warehouse.</w:t>
      </w:r>
    </w:p>
    <w:p>
      <w:pPr>
        <w:pStyle w:val="ListBullet"/>
      </w:pPr>
      <w:r>
        <w:rPr>
          <w:rFonts w:ascii="Liberation Sans" w:hAnsi="Liberation Sans"/>
          <w:sz w:val="18"/>
        </w:rPr>
        <w:t>External file/API ingestion for corporate actions, market prices, FX rates and positions.</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Trade blotter, holdings, cash, income, maturity ladder, price exception, valuation proof, P&amp;L, exposure, collateral coverage, derivative lifecycle, concentration and compliance breach reports.</w:t>
      </w:r>
    </w:p>
    <w:p>
      <w:pPr>
        <w:pStyle w:val="ListBullet"/>
      </w:pPr>
      <w:r>
        <w:rPr>
          <w:rFonts w:ascii="Liberation Sans" w:hAnsi="Liberation Sans"/>
          <w:sz w:val="18"/>
        </w:rPr>
        <w:t>Asset-class specific reports for fixed income, equities, collective schemes, structured products, derivatives, alternatives and collateral.</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Valuation must support end-of-day batch and ad hoc as-of-date rerun without corrupting approved snapshots.</w:t>
      </w:r>
    </w:p>
    <w:p>
      <w:pPr>
        <w:pStyle w:val="ListBullet"/>
      </w:pPr>
      <w:r>
        <w:rPr>
          <w:rFonts w:ascii="Liberation Sans" w:hAnsi="Liberation Sans"/>
          <w:sz w:val="18"/>
        </w:rPr>
        <w:t>Large portfolios must be handled through asynchronous batch valuation with status monitoring and restartability.</w:t>
      </w:r>
    </w:p>
    <w:p>
      <w:pPr>
        <w:pStyle w:val="ListBullet"/>
      </w:pPr>
      <w:r>
        <w:rPr>
          <w:rFonts w:ascii="Liberation Sans" w:hAnsi="Liberation Sans"/>
          <w:sz w:val="18"/>
        </w:rPr>
        <w:t>Pricing and trade imports must be idempotent and reject duplicates based on source reference and business key.</w:t>
      </w:r>
    </w:p>
    <w:p>
      <w:r>
        <w:br w:type="page"/>
      </w:r>
    </w:p>
    <w:p>
      <w:pPr>
        <w:pStyle w:val="Heading1"/>
      </w:pPr>
      <w:r>
        <w:rPr>
          <w:rFonts w:ascii="Liberation Sans" w:hAnsi="Liberation Sans"/>
          <w:color w:val="1F4E79"/>
          <w:sz w:val="32"/>
        </w:rPr>
        <w:t>BRD-04 - Fiduciary, Agency, Escrow &amp; Safekeeping Services</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G4</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Support non-portfolio fiduciary services where the bank administers assets, records, conditional release events, agency payments or registries under a defined legal, court, regulatory, contractual or trust instrument.</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Escrow, court trust, mortgage/collateral trust indenture, bond trust indenture, notes/paying agency, receiving and paying agency, stock transfer agency, life insurance trust, property administration and safekeeping, EMI-related fiduciary support</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Escrow principal/beneficiary; Issuer/borrower; Investor/lender/bondholder; Court/regulator; Agency operations; Trust officer; Legal; Operations maker/checker; Compliance; Finance/GL; Auditor</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Create service case and capture governing agreement/order, parties, conditions, assets, fees and reporting obligations.</w:t>
      </w:r>
    </w:p>
    <w:p>
      <w:pPr>
        <w:pStyle w:val="ListNumber"/>
      </w:pPr>
      <w:r>
        <w:rPr>
          <w:rFonts w:ascii="Liberation Sans" w:hAnsi="Liberation Sans"/>
          <w:sz w:val="18"/>
        </w:rPr>
        <w:t>Receive, safekeep or administer cash, securities, documents or property; maintain custody and event status.</w:t>
      </w:r>
    </w:p>
    <w:p>
      <w:pPr>
        <w:pStyle w:val="ListNumber"/>
      </w:pPr>
      <w:r>
        <w:rPr>
          <w:rFonts w:ascii="Liberation Sans" w:hAnsi="Liberation Sans"/>
          <w:sz w:val="18"/>
        </w:rPr>
        <w:t>Track conditions precedent/subsequent, notices, evidence, approvals and exceptions.</w:t>
      </w:r>
    </w:p>
    <w:p>
      <w:pPr>
        <w:pStyle w:val="ListNumber"/>
      </w:pPr>
      <w:r>
        <w:rPr>
          <w:rFonts w:ascii="Liberation Sans" w:hAnsi="Liberation Sans"/>
          <w:sz w:val="18"/>
        </w:rPr>
        <w:t>Execute releases, payments, registry updates or safekeeping actions when conditions and approvals are satisfied.</w:t>
      </w:r>
    </w:p>
    <w:p>
      <w:pPr>
        <w:pStyle w:val="ListNumber"/>
      </w:pPr>
      <w:r>
        <w:rPr>
          <w:rFonts w:ascii="Liberation Sans" w:hAnsi="Liberation Sans"/>
          <w:sz w:val="18"/>
        </w:rPr>
        <w:t>Produce agency-specific statements, confirmations, registers and audit trails.</w:t>
      </w:r>
    </w:p>
    <w:p>
      <w:pPr>
        <w:pStyle w:val="Heading2"/>
      </w:pPr>
      <w:r>
        <w:rPr>
          <w:rFonts w:ascii="Liberation Sans" w:hAnsi="Liberation Sans"/>
          <w:color w:val="2F5496"/>
          <w:sz w:val="26"/>
        </w:rPr>
        <w:t>Source One-Liners in Scope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Detail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Support/availability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R11</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Other Fiduciary Services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R44</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Escrow (DMW,BIR/CGT,DHSUD,NLRC,IPO Locked Up Shares,Buy &amp; Sell and Other Escrow, Franchise)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R45</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Court Trust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Mortgage/Collateral Trust Indenture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Bond Trust Indenture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Notes Facility and / Paying Agency (for loans/notes principal and interest payment)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R49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Receiving and Paying Agency (i.e. IPO (initial public offering), FOO (follow on offering)) ​</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R50</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Stock Transfer Agency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R51</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Life Insurance Trust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R52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Property Administration and Safekeeping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Product List R53</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Electronic Money Issuer (EMI)</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w:t>
            </w:r>
          </w:p>
        </w:tc>
      </w:tr>
    </w:tbl>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Other fiduciary services are event, condition and document driven. Unlike discretionary portfolio management, value is created by controlling legal conditions, releases, payment schedules, registry updates, custody evidence and service-level obligations. The system therefore needs a service case engine as much as accounting capability.</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G4-REQ-001</w:t>
              <w:br/>
              <w:t>Fiduciary service product factory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configurable service types for escrow, court trust, trust indenture, paying agency, receiving agency, stock transfer agency, life insurance trust, property administration/safekeeping and EMI-related fiduciary support.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Service administrators can define mandatory fields, parties, documents, fees, events, workflows and reports per service type.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G4-REQ-002</w:t>
              <w:br/>
              <w:t>Escrow agreement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escrow parties, agreement terms, asset/cash to be escrowed, conditions precedent/subsequent, release triggers, allowed investments, documentary evidence, dispute/hold status and agency-specific metadata.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Escrow release cannot proceed unless required conditions, evidence and approvals are completed or a valid override/legal order is attached.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G4-REQ-003</w:t>
              <w:br/>
              <w:t>Agency-specific escrow variants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metadata and workflows for DMW, BIR/CGT, DHSUD, NLRC, IPO locked-up shares, buy-and-sell, franchise and other escrow types as configurable variants.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 user can select the escrow variant and the system applies the correct checklist, milestones, documents and reporting fields.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G4-REQ-004</w:t>
              <w:br/>
              <w:t>Court trust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court order, case/docket number, court, judge/branch where required, parties, beneficiary, allowable investments, restrictions, reporting frequency and release/disbursement instructions.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Court trust transactions reference a court order or authorized instruction and are reportable by case and beneficiary.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G4-REQ-005</w:t>
              <w:br/>
              <w:t>Mortgage/collateral trust indenture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collateral trustee functions including borrower/issuer, lenders/investors, collateral inventory, mortgage/security documents, valuation, insurance, covenant schedule, release/substitution and default events.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Collateral trust reports show collateral coverage, document status, covenant status and release/substitution history.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G4-REQ-006</w:t>
              <w:br/>
              <w:t>Bond trust indenture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bond trustee data for issuer, bond series, bondholders or registry interface, covenants, events of default, notices, meetings, coupon/principal schedules and trustee certificates.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produces event/default monitoring and notice logs with issuer/bondholder distribution status.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G4-REQ-007</w:t>
              <w:br/>
              <w:t>Notes facility and paying agency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process principal, interest and fee payments for loans/notes facilities, including payment schedules, collection accounts, investors/payees, tax withholding, payment authorization and remittance confirmation.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Paying agency runs generate payment files, accounting entries, payee advice and reconciliation to funding received.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G4-REQ-008</w:t>
              <w:br/>
              <w:t>Receiving and paying agency for IPO/FOO</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offering setup, subscription collection, investor application records, allotment import, refund processing, payment to issuer/underwriter and reconciliation.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module can reconcile collected amounts, allotted amounts, refunds, fees and exceptions by offering and participant.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G4-REQ-009</w:t>
              <w:br/>
              <w:t>Stock transfer agency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shareholder registry, transfer instructions, certificates/book-entry positions, locked-up shares, liens/holds, corporate actions, dividend entitlements and ownership history.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Transfer processing validates signatures/authority, restrictions and available shares before registry update.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G4-REQ-010</w:t>
              <w:br/>
              <w:t>Life insurance trust administration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policy inventory, insurer, policy owner/beneficiary, premium schedule, cash value/valuation data, claims status, beneficiary distribution rules and related documents.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Policy events trigger alerts for premium due, policy lapse risk, claim milestone and beneficiary payment due.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G4-REQ-011</w:t>
              <w:br/>
              <w:t>Property administration and safekeeping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inventory of properties, documents, certificates, accountable forms and safekept items with location, custodian, valuation, inspection, renewal, insurance and release status.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Safekeeping movements require dual authorization and produce custody receipt, location history and exception report.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G4-REQ-012</w:t>
              <w:br/>
              <w:t>EMI fiduciary support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fiduciary records for EMI-related arrangements as defined by the bank, including account structure, float/safeguarding records, parties, settlement accounts, reconciliation and regulatory reporting fields.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EMI fiduciary records can be reconciled to safeguarding/cash accounts and reported separately from other fiduciary assets.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G4-REQ-013</w:t>
              <w:br/>
              <w:t>Event and condition tracking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a case/event engine for fiduciary services to track milestones, notices, due dates, conditions, evidence, approvals, escalations and service-level status.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Dashboard shows overdue conditions/events, pending approvals, exception aging and responsible owner.</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G4-REQ-014</w:t>
              <w:br/>
              <w:t>Agency fee billing and accounting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calculate setup fees, acceptance fees, annual trustee/agency fees, transaction fees, custody fees, out-of-pocket charges, taxes and invoice/payment status.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Fee billing can be generated per service agreement and posted or exported to finance/GL.</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G4-REQ-015</w:t>
              <w:br/>
              <w:t>Fiduciary reporting pack</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generate service-specific reports such as escrow balance/release report, court trust report, indenture covenant report, paying agency schedule, stockholder registry, safekeeping inventory and exception report.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Reports include as-of date, service agreement, parties, balances/assets, event status and approvals.</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Fiduciary service actions must be governed by the executed agreement, court order, indenture, offering document, escrow condition or other controlling instrument.</w:t>
      </w:r>
    </w:p>
    <w:p>
      <w:pPr>
        <w:pStyle w:val="ListBullet"/>
      </w:pPr>
      <w:r>
        <w:rPr>
          <w:rFonts w:ascii="Liberation Sans" w:hAnsi="Liberation Sans"/>
          <w:sz w:val="18"/>
        </w:rPr>
        <w:t>Release or payment cannot occur until conditions, documents, funds and approvals are complete, except under approved legal/regulatory override.</w:t>
      </w:r>
    </w:p>
    <w:p>
      <w:pPr>
        <w:pStyle w:val="ListBullet"/>
      </w:pPr>
      <w:r>
        <w:rPr>
          <w:rFonts w:ascii="Liberation Sans" w:hAnsi="Liberation Sans"/>
          <w:sz w:val="18"/>
        </w:rPr>
        <w:t>Safekeeping and custody movements require dual control, location history and custody receipt.</w:t>
      </w:r>
    </w:p>
    <w:p>
      <w:pPr>
        <w:pStyle w:val="ListBullet"/>
      </w:pPr>
      <w:r>
        <w:rPr>
          <w:rFonts w:ascii="Liberation Sans" w:hAnsi="Liberation Sans"/>
          <w:sz w:val="18"/>
        </w:rPr>
        <w:t>Agency-specific variants must apply correct data fields, document checklist, notice periods, fee rules and reporting forms.</w:t>
      </w:r>
    </w:p>
    <w:p>
      <w:pPr>
        <w:pStyle w:val="ListBullet"/>
      </w:pPr>
      <w:r>
        <w:rPr>
          <w:rFonts w:ascii="Liberation Sans" w:hAnsi="Liberation Sans"/>
          <w:sz w:val="18"/>
        </w:rPr>
        <w:t>Disputed, frozen, garnished, court-held or regulator-held assets must be blocked from release until authorized.</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Service agreement/case, party roles, governing document, condition/milestone, asset/cash/document inventory, escrow balance, registry holder, payment schedule, covenant, notice, event, fee, custody movement and audit entities.</w:t>
      </w:r>
    </w:p>
    <w:p>
      <w:pPr>
        <w:pStyle w:val="ListBullet"/>
      </w:pPr>
      <w:r>
        <w:rPr>
          <w:rFonts w:ascii="Liberation Sans" w:hAnsi="Liberation Sans"/>
          <w:sz w:val="18"/>
        </w:rPr>
        <w:t>Document and evidence metadata, location/custodian, expiry/renewal dates, legal hold status and release/payment authority.</w:t>
      </w:r>
    </w:p>
    <w:p>
      <w:pPr>
        <w:pStyle w:val="ListBullet"/>
      </w:pPr>
      <w:r>
        <w:rPr>
          <w:rFonts w:ascii="Liberation Sans" w:hAnsi="Liberation Sans"/>
          <w:sz w:val="18"/>
        </w:rPr>
        <w:t>Agency-specific reference data for escrow variants, IPO/FOO offerings, bond series, court dockets and stock transfer records.</w:t>
      </w:r>
    </w:p>
    <w:p>
      <w:pPr>
        <w:pStyle w:val="Heading2"/>
      </w:pPr>
      <w:r>
        <w:rPr>
          <w:rFonts w:ascii="Liberation Sans" w:hAnsi="Liberation Sans"/>
          <w:color w:val="2F5496"/>
          <w:sz w:val="26"/>
        </w:rPr>
        <w:t>Key Integrations</w:t>
      </w:r>
    </w:p>
    <w:p>
      <w:pPr>
        <w:pStyle w:val="ListBullet"/>
      </w:pPr>
      <w:r>
        <w:rPr>
          <w:rFonts w:ascii="Liberation Sans" w:hAnsi="Liberation Sans"/>
          <w:sz w:val="18"/>
        </w:rPr>
        <w:t>Core banking/payment systems, document management, GL/billing, registry/depository where applicable, notification service and reporting/data warehouse.</w:t>
      </w:r>
    </w:p>
    <w:p>
      <w:pPr>
        <w:pStyle w:val="ListBullet"/>
      </w:pPr>
      <w:r>
        <w:rPr>
          <w:rFonts w:ascii="Liberation Sans" w:hAnsi="Liberation Sans"/>
          <w:sz w:val="18"/>
        </w:rPr>
        <w:t>Optional interfaces with issuer/underwriter data, allotment files, custodian/depository positions and legal case-management repositories.</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Escrow balance and release report, court trust statement, indenture covenant/default report, bondholder/investor notice log, paying agency disbursement report, IPO/FOO collection and refund report, stockholder register, safekeeping inventory and service exception report.</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Service case search must support legal/agreement references, parties, assets, docket/offering/bond series and status.</w:t>
      </w:r>
    </w:p>
    <w:p>
      <w:pPr>
        <w:pStyle w:val="ListBullet"/>
      </w:pPr>
      <w:r>
        <w:rPr>
          <w:rFonts w:ascii="Liberation Sans" w:hAnsi="Liberation Sans"/>
          <w:sz w:val="18"/>
        </w:rPr>
        <w:t>Document inventory and custody data must be highly controlled and auditable.</w:t>
      </w:r>
    </w:p>
    <w:p>
      <w:pPr>
        <w:pStyle w:val="ListBullet"/>
      </w:pPr>
      <w:r>
        <w:rPr>
          <w:rFonts w:ascii="Liberation Sans" w:hAnsi="Liberation Sans"/>
          <w:sz w:val="18"/>
        </w:rPr>
        <w:t>Payment/registry updates must be reversible only through authorized correction workflow.</w:t>
      </w:r>
    </w:p>
    <w:p>
      <w:r>
        <w:br w:type="page"/>
      </w:r>
    </w:p>
    <w:p>
      <w:pPr>
        <w:pStyle w:val="Heading1"/>
      </w:pPr>
      <w:r>
        <w:rPr>
          <w:rFonts w:ascii="Liberation Sans" w:hAnsi="Liberation Sans"/>
          <w:color w:val="1F4E79"/>
          <w:sz w:val="32"/>
        </w:rPr>
        <w:t>BRD-05 - Enterprise Data Model &amp; Data Governance</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G5</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Define the logical data model, entity hierarchy, relationship rules, master data standards and data-governance controls required to support trust banking at enterprise scale.</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Core data entities; Entity hierarchy; Entity relationships; Diagrams; Sample data models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Data owner; Data steward; Business analyst; Solution architect; Integration architect; Database engineer; Operations users; Risk/compliance; Privacy officer; Audit</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Identify and govern master entities across party, product, account, mandate, portfolio, fund, instrument, transaction, cash, document and control domains.</w:t>
      </w:r>
    </w:p>
    <w:p>
      <w:pPr>
        <w:pStyle w:val="ListNumber"/>
      </w:pPr>
      <w:r>
        <w:rPr>
          <w:rFonts w:ascii="Liberation Sans" w:hAnsi="Liberation Sans"/>
          <w:sz w:val="18"/>
        </w:rPr>
        <w:t>Model party roles, ownership, beneficiaries and authorized signatories across multiple account and fiduciary relationship types.</w:t>
      </w:r>
    </w:p>
    <w:p>
      <w:pPr>
        <w:pStyle w:val="ListNumber"/>
      </w:pPr>
      <w:r>
        <w:rPr>
          <w:rFonts w:ascii="Liberation Sans" w:hAnsi="Liberation Sans"/>
          <w:sz w:val="18"/>
        </w:rPr>
        <w:t>Maintain versioned reference data, product parameters, reporting dimensions and regulatory classifications.</w:t>
      </w:r>
    </w:p>
    <w:p>
      <w:pPr>
        <w:pStyle w:val="ListNumber"/>
      </w:pPr>
      <w:r>
        <w:rPr>
          <w:rFonts w:ascii="Liberation Sans" w:hAnsi="Liberation Sans"/>
          <w:sz w:val="18"/>
        </w:rPr>
        <w:t>Provide lineage, history, auditability, privacy classification and APIs for downstream systems.</w:t>
      </w:r>
    </w:p>
    <w:p>
      <w:pPr>
        <w:pStyle w:val="ListNumber"/>
      </w:pPr>
      <w:r>
        <w:rPr>
          <w:rFonts w:ascii="Liberation Sans" w:hAnsi="Liberation Sans"/>
          <w:sz w:val="18"/>
        </w:rPr>
        <w:t>Support migration, data-quality remediation and sample scenarios for simple and complex trust structures.</w:t>
      </w:r>
    </w:p>
    <w:p>
      <w:pPr>
        <w:pStyle w:val="Heading2"/>
      </w:pPr>
      <w:r>
        <w:rPr>
          <w:rFonts w:ascii="Liberation Sans" w:hAnsi="Liberation Sans"/>
          <w:color w:val="2F5496"/>
          <w:sz w:val="26"/>
        </w:rPr>
        <w:t>Source One-Liners in Scope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Detail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Support/availability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Data Structure R5</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 Core Data Entities - Identify and describe the key business entities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Data Structure R6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 Entity Hierarchy - Describe and illustrate entity hierarchies and support for multiple levels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Data Structure R7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 Entity Relationships - Explain how entities relate to each other</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Data Structure R8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 Diagrams - Provide visual diagrams to illustrate the data structure. Diagrams should clearly show the Entities, Relationships, and Hierarchies.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Data Structure R9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e. Sample Data Models  - Include illustrative samples demonstrating how the model is applied in practice both simple and complex scenarios.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r>
    </w:tbl>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Trust banking data is complex because the same party can act as trustor, beneficiary, issuer, borrower, employer sponsor, investment counterparty or payee in different relationships. A canonical data model is essential for AML, privacy, reporting, client service, migration and future API/open-finance capabilities.</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G5-REQ-001</w:t>
              <w:br/>
              <w:t>Canonical party model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a canonical Party/CIF model covering individuals, corporations, institutions, government agencies, issuers, counterparties, beneficiaries, employees/plan members, bondholders and other relationship parties.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Each party has unique ID, aliases, identification, tax/residency data, contact data, KYC status, risk rating, privacy classification and role links.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G5-REQ-002</w:t>
              <w:br/>
              <w:t>Role-based relationship model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many-to-many relationships between party, account, fund, service agreement, instrument and transaction, using effective-dated roles and authority levels.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same party can be a client in one relationship, beneficiary in another and issuer/counterparty in another without duplicate master records.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G5-REQ-003</w:t>
              <w:br/>
              <w:t>Product and service hierarchy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model hierarchy from bank legal entity to trust department, product group, product/service type, fund/account/service agreement, mandate/portfolio/sleeve, holdings and transactions.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can roll up AUM, balances, transactions and exceptions across each level of the hierarchy.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G5-REQ-004</w:t>
              <w:br/>
              <w:t>Core entity definitions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data model shall include entities for Party, KYC profile, Product, Trust Account, Fiduciary Agreement, UITF Fund, Unit Holder, Mandate, Portfolio, Instrument, Holding, Transaction, Cash Account, Fee, Tax, Document, Workflow, Approval, Audit Log, Limit/Rule and Report Snapshot.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dictionary lists entity owner, description, key fields, primary key, foreign keys, retention, privacy classification and source system.</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G5-REQ-005</w:t>
              <w:br/>
              <w:t>Entity relationship diagrams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solution delivery shall provide logical and physical ERDs showing relationships, cardinality, hierarchy and high-volume transaction tables for development, integration and reporting teams.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ERDs are version controlled and reviewed by business, data architecture and development leads before build.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G5-REQ-006</w:t>
              <w:br/>
              <w:t>Sample data models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solution shall provide sample data sets for simple and complex scenarios, including a retail UITF investor, a PMT account, an IMA portfolio, an employee benefit trust and a bond trustee/escrow arrangement.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Sample data can be loaded into a non-production environment and used to validate APIs, workflows, reports and data migration logic.</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G5-REQ-007</w:t>
              <w:br/>
              <w:t>Data governance and stewardship</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data ownership, stewardship, change control, data-quality rules, exception queues and reference-data governance for product, instrument, party, pricing, calendar, currency and regulatory 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Data-quality dashboards show completeness, validity, duplicates, stale data and unresolved exceptions by owner.</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G5-REQ-008</w:t>
              <w:br/>
              <w:t>Audit, history and lineage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effective-dated history for master data, product rules, mandates, documents, account status, holdings, transactions and approvals, including who/when/why metadata.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Users can reconstruct the state of an account, fund or service agreement as of a selected date for audit or regulatory inquiry.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G5-REQ-009</w:t>
              <w:br/>
              <w:t>Privacy and classification metadata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data model shall tag personal, sensitive personal, privileged, confidential, financial and public data fields to support access control, masking, retention, consent and disclosure rules.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Sensitive fields are masked in non-entitled screens/reports and included in privacy impact assessment documentation.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G5-REQ-010</w:t>
              <w:br/>
              <w:t>Integration-ready APIs and event model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expose standardized APIs/events for party, account, fund, order, trade, holding, valuation, document, workflow and reporting data, with idempotency and correlation IDs.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API payloads are documented with field definitions, validation rules, error codes and sample requests/responses.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G5-REQ-011</w:t>
              <w:br/>
              <w:t>Migration and conversion mapping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implementation shall define legacy-to-target mapping, data cleansing rules, migration batches, reconciliation controls and rollback strategy for accounts, holdings, transactions, documents and users.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Migration dress rehearsal reconciles record counts, balances, units, market values and key control totals to approved tolerance.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G5-REQ-012</w:t>
              <w:br/>
              <w:t>Reporting data mart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populate a reporting layer or data mart for AUM, holdings, transactions, fees, compliance, AML, service status, channel usage and operational metrics.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Report extracts reconcile to source transaction and valuation records and include data lineage/audit metadata.</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Single-source party, product, instrument and reference data should be reused across trust products, UITF, portfolios and fiduciary services to avoid duplicate and inconsistent records.</w:t>
      </w:r>
    </w:p>
    <w:p>
      <w:pPr>
        <w:pStyle w:val="ListBullet"/>
      </w:pPr>
      <w:r>
        <w:rPr>
          <w:rFonts w:ascii="Liberation Sans" w:hAnsi="Liberation Sans"/>
          <w:sz w:val="18"/>
        </w:rPr>
        <w:t>All master-data changes require effective date, reason, maker-checker approval and lineage to source or request.</w:t>
      </w:r>
    </w:p>
    <w:p>
      <w:pPr>
        <w:pStyle w:val="ListBullet"/>
      </w:pPr>
      <w:r>
        <w:rPr>
          <w:rFonts w:ascii="Liberation Sans" w:hAnsi="Liberation Sans"/>
          <w:sz w:val="18"/>
        </w:rPr>
        <w:t>Sensitive personal, privileged and confidential data must be classified and controlled at field level where feasible.</w:t>
      </w:r>
    </w:p>
    <w:p>
      <w:pPr>
        <w:pStyle w:val="ListBullet"/>
      </w:pPr>
      <w:r>
        <w:rPr>
          <w:rFonts w:ascii="Liberation Sans" w:hAnsi="Liberation Sans"/>
          <w:sz w:val="18"/>
        </w:rPr>
        <w:t>Data model must support both simple retail relationships and complex multi-party institutional arrangements.</w:t>
      </w:r>
    </w:p>
    <w:p>
      <w:pPr>
        <w:pStyle w:val="ListBullet"/>
      </w:pPr>
      <w:r>
        <w:rPr>
          <w:rFonts w:ascii="Liberation Sans" w:hAnsi="Liberation Sans"/>
          <w:sz w:val="18"/>
        </w:rPr>
        <w:t>Migration and reporting reconciliation must be based on defined control totals and tolerance thresholds.</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Canonical data dictionary for party, product, account, fund, mandate, portfolio, instrument, transaction, fee, tax, document, workflow, approval, audit and report snapshot entities.</w:t>
      </w:r>
    </w:p>
    <w:p>
      <w:pPr>
        <w:pStyle w:val="ListBullet"/>
      </w:pPr>
      <w:r>
        <w:rPr>
          <w:rFonts w:ascii="Liberation Sans" w:hAnsi="Liberation Sans"/>
          <w:sz w:val="18"/>
        </w:rPr>
        <w:t>Hierarchy dimensions for bank legal entity, trust department, product group, account, fund, portfolio sleeve, instrument, client group and RM/branch.</w:t>
      </w:r>
    </w:p>
    <w:p>
      <w:pPr>
        <w:pStyle w:val="ListBullet"/>
      </w:pPr>
      <w:r>
        <w:rPr>
          <w:rFonts w:ascii="Liberation Sans" w:hAnsi="Liberation Sans"/>
          <w:sz w:val="18"/>
        </w:rPr>
        <w:t>Cross-reference keys for legacy IDs, external system IDs, regulatory IDs, document IDs and source transaction references.</w:t>
      </w:r>
    </w:p>
    <w:p>
      <w:pPr>
        <w:pStyle w:val="Heading2"/>
      </w:pPr>
      <w:r>
        <w:rPr>
          <w:rFonts w:ascii="Liberation Sans" w:hAnsi="Liberation Sans"/>
          <w:color w:val="2F5496"/>
          <w:sz w:val="26"/>
        </w:rPr>
        <w:t>Key Integrations</w:t>
      </w:r>
    </w:p>
    <w:p>
      <w:pPr>
        <w:pStyle w:val="ListBullet"/>
      </w:pPr>
      <w:r>
        <w:rPr>
          <w:rFonts w:ascii="Liberation Sans" w:hAnsi="Liberation Sans"/>
          <w:sz w:val="18"/>
        </w:rPr>
        <w:t>MDM/CIF, AML/CDD, CRM, core banking, data warehouse, document repository, market data, GL and portals.</w:t>
      </w:r>
    </w:p>
    <w:p>
      <w:pPr>
        <w:pStyle w:val="ListBullet"/>
      </w:pPr>
      <w:r>
        <w:rPr>
          <w:rFonts w:ascii="Liberation Sans" w:hAnsi="Liberation Sans"/>
          <w:sz w:val="18"/>
        </w:rPr>
        <w:t>API/event bus for real-time and batch dissemination of master, transactional and reporting data.</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Data quality dashboard, master-data change report, migration reconciliation, entity relationship inventory, privacy classification report and source-to-target mapping report.</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Data model must support audit reconstruction as-of any date.</w:t>
      </w:r>
    </w:p>
    <w:p>
      <w:pPr>
        <w:pStyle w:val="ListBullet"/>
      </w:pPr>
      <w:r>
        <w:rPr>
          <w:rFonts w:ascii="Liberation Sans" w:hAnsi="Liberation Sans"/>
          <w:sz w:val="18"/>
        </w:rPr>
        <w:t>APIs must be documented, versioned, secure and resilient to retries.</w:t>
      </w:r>
    </w:p>
    <w:p>
      <w:pPr>
        <w:pStyle w:val="ListBullet"/>
      </w:pPr>
      <w:r>
        <w:rPr>
          <w:rFonts w:ascii="Liberation Sans" w:hAnsi="Liberation Sans"/>
          <w:sz w:val="18"/>
        </w:rPr>
        <w:t>Migration tooling must provide restartability, reconciliation and rollback.</w:t>
      </w:r>
    </w:p>
    <w:p>
      <w:r>
        <w:br w:type="page"/>
      </w:r>
    </w:p>
    <w:p>
      <w:pPr>
        <w:pStyle w:val="Heading1"/>
      </w:pPr>
      <w:r>
        <w:rPr>
          <w:rFonts w:ascii="Liberation Sans" w:hAnsi="Liberation Sans"/>
          <w:color w:val="1F4E79"/>
          <w:sz w:val="32"/>
        </w:rPr>
        <w:t>BRD-06 - Digital Access, Portals &amp; Platform Availability</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G6</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Provide secure web and mobile digital access for clients, RMs and branches, enabling portfolio visibility, statements, service requests, UITF transactions and controlled staff workflows.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Client-facing portal; Relationship Manager portal; Branch-level access for UITF</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Client/participant; Beneficiary; Relationship manager; Branch user; Trust operations; Portal administrator; Information security; Customer support; Compliance; Audit</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Authenticate user and establish role, channel, device and session context.</w:t>
      </w:r>
    </w:p>
    <w:p>
      <w:pPr>
        <w:pStyle w:val="ListNumber"/>
      </w:pPr>
      <w:r>
        <w:rPr>
          <w:rFonts w:ascii="Liberation Sans" w:hAnsi="Liberation Sans"/>
          <w:sz w:val="18"/>
        </w:rPr>
        <w:t>Display permitted client/account/fund information according to entitlement and privacy rules.</w:t>
      </w:r>
    </w:p>
    <w:p>
      <w:pPr>
        <w:pStyle w:val="ListNumber"/>
      </w:pPr>
      <w:r>
        <w:rPr>
          <w:rFonts w:ascii="Liberation Sans" w:hAnsi="Liberation Sans"/>
          <w:sz w:val="18"/>
        </w:rPr>
        <w:t>Capture requests or transactions, validate eligibility, collect consent or e-signature where applicable, and route for approval.</w:t>
      </w:r>
    </w:p>
    <w:p>
      <w:pPr>
        <w:pStyle w:val="ListNumber"/>
      </w:pPr>
      <w:r>
        <w:rPr>
          <w:rFonts w:ascii="Liberation Sans" w:hAnsi="Liberation Sans"/>
          <w:sz w:val="18"/>
        </w:rPr>
        <w:t>Notify clients and staff of status changes, exceptions, statements, order confirmations and pending actions.</w:t>
      </w:r>
    </w:p>
    <w:p>
      <w:pPr>
        <w:pStyle w:val="ListNumber"/>
      </w:pPr>
      <w:r>
        <w:rPr>
          <w:rFonts w:ascii="Liberation Sans" w:hAnsi="Liberation Sans"/>
          <w:sz w:val="18"/>
        </w:rPr>
        <w:t>Maintain channel audit trail, service availability, incident management and support diagnostics.</w:t>
      </w:r>
    </w:p>
    <w:p>
      <w:pPr>
        <w:pStyle w:val="Heading2"/>
      </w:pPr>
      <w:r>
        <w:rPr>
          <w:rFonts w:ascii="Liberation Sans" w:hAnsi="Liberation Sans"/>
          <w:color w:val="2F5496"/>
          <w:sz w:val="26"/>
        </w:rPr>
        <w:t>Source One-Liners in Scope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Source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Detail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Support/availability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System Access &amp; Channels R6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Client-facing Portal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Available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System Access &amp; Channels R7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Relationship Manager (RM) Portal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Available (OOTB)</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System Access &amp; Channels R8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Branch-level Access (for UITF)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Available (OOTB)</w:t>
            </w:r>
          </w:p>
        </w:tc>
      </w:tr>
    </w:tbl>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Channels must be secure extensions of the back-office trust platform. They should provide transparent client and staff access without bypassing suitability, cut-off, approval, disclosure, privacy or audit rules. A consistent entitlement and channel provenance model is mandatory.</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G6-REQ-001</w:t>
              <w:br/>
              <w:t>Client portal web access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a secure client-facing web portal for entitled clients/participants to view trust accounts, UITF holdings, portfolio value, transactions, statements, confirmations, disclosures, service requests and alerts.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 client sees only entitled accounts and data, with balances matching approved back-office records and as-of date displayed.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G6-REQ-002</w:t>
              <w:br/>
              <w:t>Client mobile access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mobile access for iOS and Android, either native or responsive/PWA as approved, supporting secure login, balances, statements, notifications and eligible UITF/service request functions.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Mobile access enforces device/session security, MFA and channel limits equivalent to or stronger than web access.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G6-REQ-003</w:t>
              <w:br/>
              <w:t>Relationship Manager portal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RM portal capabilities for client 360 view, portfolio summary, pipeline/onboarding status, pending documents, suitability status, service requests, alerts, meeting notes and order initiation subject to entitlement.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RM users can only access assigned or delegated clients and all data access is logged.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G6-REQ-004</w:t>
              <w:br/>
              <w:t>Branch-level UITF access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branch users for UITF inquiry, suitability verification, subscription/redemption initiation, document upload, receipt/confirmation printing and escalation to trust operations.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Branch transactions identify branch, teller/user, channel, client, order source and approval status.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G6-REQ-005</w:t>
              <w:br/>
              <w:t>Authentication and identity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MFA, password policy, session management, SSO/federation for staff where required, customer registration, account recovery and user deactivation.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Security events such as failed login, device change, password reset and privilege change are logged and alertable.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G6-REQ-006</w:t>
              <w:br/>
              <w:t>Role-based access and entitlement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enforce role-based and attribute-based access across client, RM, branch, operations, compliance, risk and admin users, including account-level and function-level entitlements.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Entitlement tests prove that users cannot view, amend, approve or export data beyond their approved role and assigned portfolio/branch/client scope.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G6-REQ-007</w:t>
              <w:br/>
              <w:t>Digital service requests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portals shall allow configurable service requests such as statement request, profile update, document upload, account inquiry, UITF transaction inquiry, change of contact details and general trust service request.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Service requests route to the correct queue with SLA, status, attachments, notes and notification history.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G6-REQ-008</w:t>
              <w:br/>
              <w:t>Order capture and channel controls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portals shall support eligible order/request capture such as UITF subscription/redemption or instruction submission, applying cut-off, suitability, disclosure, funding account and approval rules.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Orders submitted through portal appear in back-office queues with complete channel, consent and audit information.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G6-REQ-009</w:t>
              <w:br/>
              <w:t>Notifications and communications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send configurable notifications via email, SMS and/or push for transaction confirmation, statement availability, pending documents, maturity, distribution, exception, approval and security events.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Notifications are logged with template, recipient, channel, delivery status and opt-in/opt-out or consent basis.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G6-REQ-010</w:t>
              <w:br/>
              <w:t>E-signature and consent capture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Where permitted by bank policy and Philippine law, the system shall capture electronic consent, acknowledgement and e-signature evidence for disclosures, orders and service requests.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E-records show signer identity, timestamp, document hash/version, consent wording and verification method.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G6-REQ-011</w:t>
              <w:br/>
              <w:t>Accessibility, language and usability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portal shall support accessible design, clear plain-language disclosures, responsive layout and bank-approved language/localization requirements such as English and optional Filipino content.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Key user journeys pass usability/accessibility review and provide consistent labels across web, mobile, RM and branch channels.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G6-REQ-012</w:t>
              <w:br/>
              <w:t>Availability and performance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channels shall meet agreed uptime, response-time, concurrency and failover requirements, with graceful degradation for read-only functions where possible during downstream outages.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Monitoring dashboards provide uptime, response time, errors, transaction success, API latency and incident history.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G6-REQ-013</w:t>
              <w:br/>
              <w:t>Portal audit and fraud monitoring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log all channel access, data views, exports, downloads, orders, consent, profile changes and failed attempts for fraud monitoring and audit.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Security/compliance users can search audit logs by user, client, account, IP/device, event type, date and transaction reference.</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Access must be determined by user identity, role, channel, relationship assignment, account entitlement, client consent and data classification.</w:t>
      </w:r>
    </w:p>
    <w:p>
      <w:pPr>
        <w:pStyle w:val="ListBullet"/>
      </w:pPr>
      <w:r>
        <w:rPr>
          <w:rFonts w:ascii="Liberation Sans" w:hAnsi="Liberation Sans"/>
          <w:sz w:val="18"/>
        </w:rPr>
        <w:t>Client, RM and branch users must not bypass back-office product, suitability, cut-off, approval or disclosure rules.</w:t>
      </w:r>
    </w:p>
    <w:p>
      <w:pPr>
        <w:pStyle w:val="ListBullet"/>
      </w:pPr>
      <w:r>
        <w:rPr>
          <w:rFonts w:ascii="Liberation Sans" w:hAnsi="Liberation Sans"/>
          <w:sz w:val="18"/>
        </w:rPr>
        <w:t>Portal transactions require tamper-evident audit trail, channel reference, request status and notification history.</w:t>
      </w:r>
    </w:p>
    <w:p>
      <w:pPr>
        <w:pStyle w:val="ListBullet"/>
      </w:pPr>
      <w:r>
        <w:rPr>
          <w:rFonts w:ascii="Liberation Sans" w:hAnsi="Liberation Sans"/>
          <w:sz w:val="18"/>
        </w:rPr>
        <w:t>High-risk actions such as profile changes, order submission and document acceptance require step-up authentication or approval as configured.</w:t>
      </w:r>
    </w:p>
    <w:p>
      <w:pPr>
        <w:pStyle w:val="ListBullet"/>
      </w:pPr>
      <w:r>
        <w:rPr>
          <w:rFonts w:ascii="Liberation Sans" w:hAnsi="Liberation Sans"/>
          <w:sz w:val="18"/>
        </w:rPr>
        <w:t>Branch-level UITF functions must be segregated from trust back-office approval and NAV functions.</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User, role, entitlement, client-channel enrollment, device/session, notification preference, consent, service request, portal order, audit event and channel document entities.</w:t>
      </w:r>
    </w:p>
    <w:p>
      <w:pPr>
        <w:pStyle w:val="ListBullet"/>
      </w:pPr>
      <w:r>
        <w:rPr>
          <w:rFonts w:ascii="Liberation Sans" w:hAnsi="Liberation Sans"/>
          <w:sz w:val="18"/>
        </w:rPr>
        <w:t>Channel-specific display data snapshots for balances, holdings, NAVPU, statements and confirmations.</w:t>
      </w:r>
    </w:p>
    <w:p>
      <w:pPr>
        <w:pStyle w:val="ListBullet"/>
      </w:pPr>
      <w:r>
        <w:rPr>
          <w:rFonts w:ascii="Liberation Sans" w:hAnsi="Liberation Sans"/>
          <w:sz w:val="18"/>
        </w:rPr>
        <w:t>Consent and e-signature evidence metadata including document version/hash, timestamp and verification method.</w:t>
      </w:r>
    </w:p>
    <w:p>
      <w:pPr>
        <w:pStyle w:val="Heading2"/>
      </w:pPr>
      <w:r>
        <w:rPr>
          <w:rFonts w:ascii="Liberation Sans" w:hAnsi="Liberation Sans"/>
          <w:color w:val="2F5496"/>
          <w:sz w:val="26"/>
        </w:rPr>
        <w:t>Key Integrations</w:t>
      </w:r>
    </w:p>
    <w:p>
      <w:pPr>
        <w:pStyle w:val="ListBullet"/>
      </w:pPr>
      <w:r>
        <w:rPr>
          <w:rFonts w:ascii="Liberation Sans" w:hAnsi="Liberation Sans"/>
          <w:sz w:val="18"/>
        </w:rPr>
        <w:t>Identity provider/SSO/MFA, customer notification service, document/e-signature platform, core trust APIs, UITF order APIs, CRM/helpdesk and monitoring/SIEM.</w:t>
      </w:r>
    </w:p>
    <w:p>
      <w:pPr>
        <w:pStyle w:val="ListBullet"/>
      </w:pPr>
      <w:r>
        <w:rPr>
          <w:rFonts w:ascii="Liberation Sans" w:hAnsi="Liberation Sans"/>
          <w:sz w:val="18"/>
        </w:rPr>
        <w:t>Mobile app distribution, API gateway and fraud monitoring tools.</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Channel adoption, login/security events, active users, service request SLA, portal order status, statement downloads, notification delivery and access audit reports.</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Responsive web and mobile user experience with configurable availability and performance SLAs.</w:t>
      </w:r>
    </w:p>
    <w:p>
      <w:pPr>
        <w:pStyle w:val="ListBullet"/>
      </w:pPr>
      <w:r>
        <w:rPr>
          <w:rFonts w:ascii="Liberation Sans" w:hAnsi="Liberation Sans"/>
          <w:sz w:val="18"/>
        </w:rPr>
        <w:t>Security monitoring for anomalous access, failed logins, data exports and device changes.</w:t>
      </w:r>
    </w:p>
    <w:p>
      <w:pPr>
        <w:pStyle w:val="ListBullet"/>
      </w:pPr>
      <w:r>
        <w:rPr>
          <w:rFonts w:ascii="Liberation Sans" w:hAnsi="Liberation Sans"/>
          <w:sz w:val="18"/>
        </w:rPr>
        <w:t>Accessibility and usability review before production rollout.</w:t>
      </w:r>
    </w:p>
    <w:p>
      <w:r>
        <w:br w:type="page"/>
      </w:r>
    </w:p>
    <w:p>
      <w:pPr>
        <w:pStyle w:val="Heading1"/>
      </w:pPr>
      <w:r>
        <w:rPr>
          <w:rFonts w:ascii="Liberation Sans" w:hAnsi="Liberation Sans"/>
          <w:color w:val="1F4E79"/>
          <w:sz w:val="32"/>
        </w:rPr>
        <w:t>BRD-07 - Cross-Cutting Controls, Compliance &amp; Operational Resilience</w:t>
      </w:r>
    </w:p>
    <w:tbl>
      <w:tblPr>
        <w:tblW w:type="auto" w:w="0"/>
        <w:jc w:val="center"/>
        <w:tblLayout w:type="autofit"/>
        <w:tblLook w:firstColumn="1" w:firstRow="1" w:lastColumn="0" w:lastRow="0" w:noHBand="0" w:noVBand="1" w:val="04A0"/>
      </w:tblPr>
      <w:tblGrid>
        <w:gridCol w:w="5328"/>
        <w:gridCol w:w="5328"/>
      </w:tblGrid>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Group ID</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G7</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Objective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Embed enterprise-grade compliance, risk, audit, data protection, security and resilience controls across all trust-banking capabilities.</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Source scope</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Regulatory compliance; AML/CFT; Data privacy; IT/security; Operational resilience; Outsourcing/cloud; Audit and reporting</w:t>
            </w:r>
          </w:p>
        </w:tc>
      </w:tr>
      <w:tr>
        <w:tc>
          <w:tcPr>
            <w:tcW w:type="dxa" w:w="5328"/>
            <w:vAlign w:val="top"/>
            <w:shd w:fill="EAF2F8"/>
            <w:tcBorders>
              <w:top w:val="single" w:sz="4" w:color="D9E2EC"/>
              <w:left w:val="single" w:sz="4" w:color="D9E2EC"/>
              <w:bottom w:val="single" w:sz="4" w:color="D9E2EC"/>
              <w:right w:val="single" w:sz="4" w:color="D9E2EC"/>
            </w:tcBorders>
          </w:tcPr>
          <w:p>
            <w:pPr>
              <w:jc w:val="left"/>
            </w:pPr>
            <w:r/>
            <w:r>
              <w:rPr>
                <w:rFonts w:ascii="Liberation Sans" w:hAnsi="Liberation Sans"/>
                <w:b/>
                <w:sz w:val="16"/>
              </w:rPr>
              <w:t>Primary users/actors</w:t>
            </w:r>
          </w:p>
        </w:tc>
        <w:tc>
          <w:tcPr>
            <w:tcW w:type="dxa" w:w="5328"/>
            <w:vAlign w:val="top"/>
            <w:tcBorders>
              <w:top w:val="single" w:sz="4" w:color="D9E2EC"/>
              <w:left w:val="single" w:sz="4" w:color="D9E2EC"/>
              <w:bottom w:val="single" w:sz="4" w:color="D9E2EC"/>
              <w:right w:val="single" w:sz="4" w:color="D9E2EC"/>
            </w:tcBorders>
          </w:tcPr>
          <w:p>
            <w:pPr>
              <w:jc w:val="left"/>
            </w:pPr>
            <w:r/>
            <w:r>
              <w:rPr>
                <w:rFonts w:ascii="Liberation Sans" w:hAnsi="Liberation Sans"/>
                <w:b w:val="0"/>
                <w:sz w:val="16"/>
              </w:rPr>
              <w:t>Board/Trust Committee; Senior management; Compliance officer; AML officer; Data protection officer; Risk management; Information security; IT operations; Vendor management; Internal audit; External auditor</w:t>
            </w:r>
          </w:p>
        </w:tc>
      </w:tr>
    </w:tbl>
    <w:p>
      <w:pPr>
        <w:pStyle w:val="Heading2"/>
      </w:pPr>
      <w:r>
        <w:rPr>
          <w:rFonts w:ascii="Liberation Sans" w:hAnsi="Liberation Sans"/>
          <w:color w:val="2F5496"/>
          <w:sz w:val="26"/>
        </w:rPr>
        <w:t>Business Process Summary</w:t>
      </w:r>
    </w:p>
    <w:p>
      <w:pPr>
        <w:pStyle w:val="ListNumber"/>
      </w:pPr>
      <w:r>
        <w:rPr>
          <w:rFonts w:ascii="Liberation Sans" w:hAnsi="Liberation Sans"/>
          <w:sz w:val="18"/>
        </w:rPr>
        <w:t>Apply regulatory obligation mapping and control design during configuration and solution delivery.</w:t>
      </w:r>
    </w:p>
    <w:p>
      <w:pPr>
        <w:pStyle w:val="ListNumber"/>
      </w:pPr>
      <w:r>
        <w:rPr>
          <w:rFonts w:ascii="Liberation Sans" w:hAnsi="Liberation Sans"/>
          <w:sz w:val="18"/>
        </w:rPr>
        <w:t>Perform CDD/KYC, sanctions screening, transaction monitoring and suspicious/covered transaction reporting support.</w:t>
      </w:r>
    </w:p>
    <w:p>
      <w:pPr>
        <w:pStyle w:val="ListNumber"/>
      </w:pPr>
      <w:r>
        <w:rPr>
          <w:rFonts w:ascii="Liberation Sans" w:hAnsi="Liberation Sans"/>
          <w:sz w:val="18"/>
        </w:rPr>
        <w:t>Protect personal and financial data through privacy-by-design, consent, access control, encryption, retention and breach-management controls.</w:t>
      </w:r>
    </w:p>
    <w:p>
      <w:pPr>
        <w:pStyle w:val="ListNumber"/>
      </w:pPr>
      <w:r>
        <w:rPr>
          <w:rFonts w:ascii="Liberation Sans" w:hAnsi="Liberation Sans"/>
          <w:sz w:val="18"/>
        </w:rPr>
        <w:t>Operate the platform within defined availability, recovery, incident, vendor, change and resilience standards.</w:t>
      </w:r>
    </w:p>
    <w:p>
      <w:pPr>
        <w:pStyle w:val="ListNumber"/>
      </w:pPr>
      <w:r>
        <w:rPr>
          <w:rFonts w:ascii="Liberation Sans" w:hAnsi="Liberation Sans"/>
          <w:sz w:val="18"/>
        </w:rPr>
        <w:t>Generate evidence, audit logs and management reports for trust committee, compliance, regulators and internal audit.</w:t>
      </w:r>
    </w:p>
    <w:p>
      <w:pPr>
        <w:pStyle w:val="Heading2"/>
      </w:pPr>
      <w:r>
        <w:rPr>
          <w:rFonts w:ascii="Liberation Sans" w:hAnsi="Liberation Sans"/>
          <w:color w:val="2F5496"/>
          <w:sz w:val="26"/>
        </w:rPr>
        <w:t>Source One-Liners in Scope</w:t>
      </w:r>
    </w:p>
    <w:p>
      <w:pPr>
        <w:spacing w:after="120"/>
        <w:jc w:val="both"/>
      </w:pPr>
      <w:r>
        <w:rPr>
          <w:rFonts w:ascii="Liberation Sans" w:hAnsi="Liberation Sans"/>
          <w:sz w:val="18"/>
        </w:rPr>
        <w:t>This group is a derived cross-cutting BRD created because enterprise trust-banking delivery requires compliance, control, audit, security and resilience capabilities across all directly stated source requirements.</w:t>
      </w:r>
    </w:p>
    <w:p>
      <w:pPr>
        <w:pStyle w:val="Heading2"/>
      </w:pPr>
      <w:r>
        <w:rPr>
          <w:rFonts w:ascii="Liberation Sans" w:hAnsi="Liberation Sans"/>
          <w:color w:val="2F5496"/>
          <w:sz w:val="26"/>
        </w:rPr>
        <w:t>Domain Elaboration</w:t>
      </w:r>
    </w:p>
    <w:p>
      <w:pPr>
        <w:spacing w:after="120"/>
        <w:jc w:val="both"/>
      </w:pPr>
      <w:r>
        <w:rPr>
          <w:rFonts w:ascii="Liberation Sans" w:hAnsi="Liberation Sans"/>
          <w:sz w:val="18"/>
        </w:rPr>
        <w:t>Cross-cutting control design is mandatory for trust banking because the platform handles fiduciary assets, client money, securities, sensitive personal data, regulatory reporting, audit evidence and operationally critical processes. Controls must be designed into workflows, data model, integrations, access and reporting from the start.</w:t>
      </w:r>
    </w:p>
    <w:p>
      <w:pPr>
        <w:pStyle w:val="Heading2"/>
      </w:pPr>
      <w:r>
        <w:rPr>
          <w:rFonts w:ascii="Liberation Sans" w:hAnsi="Liberation Sans"/>
          <w:color w:val="2F5496"/>
          <w:sz w:val="26"/>
        </w:rPr>
        <w:t>Detailed Business Requirements</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 ID</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Requirement</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Priority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Acceptance Criteria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G7-REQ-001</w:t>
              <w:br/>
              <w:t>Regulatory obligation mapping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implementation shall maintain a requirements-control mapping to applicable BSP trust, UITF, AML/CFT, IT risk, operational resilience, outsourcing/cloud, data privacy, e-commerce/e-record and bank internal policies.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Each regulatory obligation has mapped system control, owner, evidence source, test case and residual gap status.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G7-REQ-002</w:t>
              <w:br/>
              <w:t>AML/CDD and sanctions integration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integrate with or provide hooks to AML/CDD, PEP, adverse media and sanctions screening systems for parties, beneficial owners, signatories, counterparties, payees, issuers and transactions.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New or amended relationships/orders cannot proceed when screening returns unresolved high-risk hits or missing CDD data.</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G7-REQ-003</w:t>
              <w:br/>
              <w:t>Transaction monitoring and AML reporting support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transaction, party, account and cash-flow data needed for covered/suspicious transaction monitoring, investigation workflow and AMLC report preparation by the bank's AML solution or compliance team.</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extracts include transaction reference, amount, currency, parties, source channel, account, product, purpose, status and audit details.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G7-REQ-004</w:t>
              <w:br/>
              <w:t>Privacy-by-design controls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lawful processing basis, privacy notices/consent where applicable, data minimization, purpose tagging, field-level masking, data-subject request support, retention and breach-evidence capture.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Privacy tests confirm that sensitive personal information is visible only to entitled users and is masked in non-production/export contexts.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G7-REQ-005</w:t>
              <w:br/>
              <w:t>Information security baseline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solution shall implement encryption in transit and at rest, secure key management, least privilege, MFA, vulnerability management, secure SDLC, logging, monitoring, secure APIs and environment segregation.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Security testing includes vulnerability assessment, penetration test, access review, API security test and remediation closure before go-live.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G7-REQ-006</w:t>
              <w:br/>
              <w:t>Maker-checker and segregation of duties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enforce maker-checker, approval limits, role segregation and dual control for high-risk activities including account activation, cash movement, NAV approval, price override, document release, entitlement changes and master-data changes.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No user can both create and approve the same controlled transaction unless an emergency override with independent review is configured.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G7-REQ-007</w:t>
              <w:br/>
              <w:t>Operational resilience and DR</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platform shall define critical operations, service tolerance, RTO/RPO, backup, failover, disaster recovery, incident management, business continuity workarounds and periodic testing for trust banking operations.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DR tests demonstrate recovery within approved RTO/RPO and produce evidence, issues and remediation actions.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G7-REQ-008</w:t>
              <w:br/>
              <w:t>Audit trail and evidentiary records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maintain tamper-evident audit logs for user access, data changes, approvals, calculations, file transfers, report generation and administrative activities, with retention aligned to bank policy and legal/regulatory requirements.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Auditors can reconstruct who did what, when, before/after values, reason, approval and related documents for a selected event.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G7-REQ-009</w:t>
              <w:br/>
              <w:t>Record retention and legal hold</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support configurable retention schedules, legal hold, archive, purge approval and retrieval for accounts, transactions, AML records, statements, documents and audit logs.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Records under legal/regulatory hold cannot be purged and retention exceptions are reportable.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G7-REQ-010</w:t>
              <w:br/>
              <w:t>Accounting, GL and tax controls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generate controlled accounting entries for trust/fiduciary assets, fees, taxes, accruals, settlements, NAV and agency payments, and interface them to finance/GL systems with reconciliation.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GL posting files include balanced debits/credits, product/account/fund dimensions, status, error handling and reconciliation report.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G7-REQ-011</w:t>
              <w:br/>
              <w:t>Outsourcing/cloud governance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Where the solution is outsourced, cloud hosted or supported by third parties, the implementation shall support vendor risk, materiality assessment, outsourcing register evidence, access to audit logs, data location, subcontractor inventory and exit/portability plan.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Vendor governance documentation is complete before production approval and reviewed periodically.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G7-REQ-012</w:t>
              <w:br/>
              <w:t>Change, release and configuration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implementation shall support controlled configuration, parameter changes, product rules, workflows, reports, integrations and software releases through versioning, impact assessment, approval, test evidence and rollback plan.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All production changes have approved change ticket, test evidence, deployment log and post-implementation validation.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G7-REQ-013</w:t>
              <w:br/>
              <w:t>Management and regulatory reporting control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provide controlled reporting production with source data lineage, maker-checker approval for critical reports, run history, exception handling and sign-off workflow.</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Regulatory and management reports can be regenerated for prior periods with the same approved input snapshot.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G7-REQ-014</w:t>
              <w:br/>
              <w:t>Incident and exception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system shall capture business, operational, security, data and reconciliation incidents with severity, impact, root cause, owner, remediation action and closure evidence.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Incident dashboard provides aging, repeat issues, breached SLAs and linkage to audit/control findings.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G7-REQ-015</w:t>
              <w:br/>
              <w:t>Test and UAT traceability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The delivery shall maintain traceability from source one-liners to BRD requirements, design, configuration/customization items, test cases, UAT evidence and go-live readiness checklist.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Must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No requirement can be marked complete without accepted test evidence or documented business sign-off.</w:t>
            </w:r>
          </w:p>
        </w:tc>
      </w:tr>
    </w:tbl>
    <w:p>
      <w:pPr>
        <w:pStyle w:val="Heading2"/>
      </w:pPr>
      <w:r>
        <w:rPr>
          <w:rFonts w:ascii="Liberation Sans" w:hAnsi="Liberation Sans"/>
          <w:color w:val="2F5496"/>
          <w:sz w:val="26"/>
        </w:rPr>
        <w:t>Business Rules and Control Points</w:t>
      </w:r>
    </w:p>
    <w:p>
      <w:pPr>
        <w:pStyle w:val="ListBullet"/>
      </w:pPr>
      <w:r>
        <w:rPr>
          <w:rFonts w:ascii="Liberation Sans" w:hAnsi="Liberation Sans"/>
          <w:sz w:val="18"/>
        </w:rPr>
        <w:t>Regulatory controls must be traceable to system capabilities, bank policy, configuration, procedure or manual control with identified owner and evidence.</w:t>
      </w:r>
    </w:p>
    <w:p>
      <w:pPr>
        <w:pStyle w:val="ListBullet"/>
      </w:pPr>
      <w:r>
        <w:rPr>
          <w:rFonts w:ascii="Liberation Sans" w:hAnsi="Liberation Sans"/>
          <w:sz w:val="18"/>
        </w:rPr>
        <w:t>AML, sanctions, privacy, cyber, operational resilience and audit controls are mandatory cross-cutting controls, not optional modules.</w:t>
      </w:r>
    </w:p>
    <w:p>
      <w:pPr>
        <w:pStyle w:val="ListBullet"/>
      </w:pPr>
      <w:r>
        <w:rPr>
          <w:rFonts w:ascii="Liberation Sans" w:hAnsi="Liberation Sans"/>
          <w:sz w:val="18"/>
        </w:rPr>
        <w:t>Critical production changes require impact assessment, approval, testing, deployment evidence and rollback plan.</w:t>
      </w:r>
    </w:p>
    <w:p>
      <w:pPr>
        <w:pStyle w:val="ListBullet"/>
      </w:pPr>
      <w:r>
        <w:rPr>
          <w:rFonts w:ascii="Liberation Sans" w:hAnsi="Liberation Sans"/>
          <w:sz w:val="18"/>
        </w:rPr>
        <w:t>Incident, exception and reconciliation management must maintain root-cause analysis and closure evidence.</w:t>
      </w:r>
    </w:p>
    <w:p>
      <w:pPr>
        <w:pStyle w:val="ListBullet"/>
      </w:pPr>
      <w:r>
        <w:rPr>
          <w:rFonts w:ascii="Liberation Sans" w:hAnsi="Liberation Sans"/>
          <w:sz w:val="18"/>
        </w:rPr>
        <w:t>Production data may be used outside production only through approved masking/tokenization and access controls.</w:t>
      </w:r>
    </w:p>
    <w:p>
      <w:pPr>
        <w:pStyle w:val="Heading2"/>
      </w:pPr>
      <w:r>
        <w:rPr>
          <w:rFonts w:ascii="Liberation Sans" w:hAnsi="Liberation Sans"/>
          <w:color w:val="2F5496"/>
          <w:sz w:val="26"/>
        </w:rPr>
        <w:t>Key Data Requirements</w:t>
      </w:r>
    </w:p>
    <w:p>
      <w:pPr>
        <w:pStyle w:val="ListBullet"/>
      </w:pPr>
      <w:r>
        <w:rPr>
          <w:rFonts w:ascii="Liberation Sans" w:hAnsi="Liberation Sans"/>
          <w:sz w:val="18"/>
        </w:rPr>
        <w:t>Control library, regulatory obligation, issue/risk, incident, audit evidence, access review, security event, retention/legal hold, vendor/outsourcing register and change record entities.</w:t>
      </w:r>
    </w:p>
    <w:p>
      <w:pPr>
        <w:pStyle w:val="ListBullet"/>
      </w:pPr>
      <w:r>
        <w:rPr>
          <w:rFonts w:ascii="Liberation Sans" w:hAnsi="Liberation Sans"/>
          <w:sz w:val="18"/>
        </w:rPr>
        <w:t>Regulatory report snapshots and evidence packages with run history, source data and sign-offs.</w:t>
      </w:r>
    </w:p>
    <w:p>
      <w:pPr>
        <w:pStyle w:val="ListBullet"/>
      </w:pPr>
      <w:r>
        <w:rPr>
          <w:rFonts w:ascii="Liberation Sans" w:hAnsi="Liberation Sans"/>
          <w:sz w:val="18"/>
        </w:rPr>
        <w:t>Linkage from one-liner requirement to BRD requirement, design, build item, test case and UAT evidence.</w:t>
      </w:r>
    </w:p>
    <w:p>
      <w:pPr>
        <w:pStyle w:val="Heading2"/>
      </w:pPr>
      <w:r>
        <w:rPr>
          <w:rFonts w:ascii="Liberation Sans" w:hAnsi="Liberation Sans"/>
          <w:color w:val="2F5496"/>
          <w:sz w:val="26"/>
        </w:rPr>
        <w:t>Key Integrations</w:t>
      </w:r>
    </w:p>
    <w:p>
      <w:pPr>
        <w:pStyle w:val="ListBullet"/>
      </w:pPr>
      <w:r>
        <w:rPr>
          <w:rFonts w:ascii="Liberation Sans" w:hAnsi="Liberation Sans"/>
          <w:sz w:val="18"/>
        </w:rPr>
        <w:t>AML transaction monitoring and reporting, SIEM/SOC, IAM, GRC/control library, ticketing/change management, backup/DR platform, data loss prevention, vendor risk management, GL and regulatory reporting tools.</w:t>
      </w:r>
    </w:p>
    <w:p>
      <w:pPr>
        <w:pStyle w:val="ListBullet"/>
      </w:pPr>
      <w:r>
        <w:rPr>
          <w:rFonts w:ascii="Liberation Sans" w:hAnsi="Liberation Sans"/>
          <w:sz w:val="18"/>
        </w:rPr>
        <w:t>Cloud/outsourcing provider logs and evidence repositories where applicable.</w:t>
      </w:r>
    </w:p>
    <w:p>
      <w:pPr>
        <w:pStyle w:val="Heading2"/>
      </w:pPr>
      <w:r>
        <w:rPr>
          <w:rFonts w:ascii="Liberation Sans" w:hAnsi="Liberation Sans"/>
          <w:color w:val="2F5496"/>
          <w:sz w:val="26"/>
        </w:rPr>
        <w:t>Reporting Requirements</w:t>
      </w:r>
    </w:p>
    <w:p>
      <w:pPr>
        <w:pStyle w:val="ListBullet"/>
      </w:pPr>
      <w:r>
        <w:rPr>
          <w:rFonts w:ascii="Liberation Sans" w:hAnsi="Liberation Sans"/>
          <w:sz w:val="18"/>
        </w:rPr>
        <w:t>Control compliance dashboard, AML data extract status, access recertification, audit log report, change/release report, incident report, DR test report, outsourcing register, privacy/consent report and regulatory evidence pack.</w:t>
      </w:r>
    </w:p>
    <w:p>
      <w:pPr>
        <w:pStyle w:val="Heading2"/>
      </w:pPr>
      <w:r>
        <w:rPr>
          <w:rFonts w:ascii="Liberation Sans" w:hAnsi="Liberation Sans"/>
          <w:color w:val="2F5496"/>
          <w:sz w:val="26"/>
        </w:rPr>
        <w:t>Non-Functional Requirements</w:t>
      </w:r>
    </w:p>
    <w:p>
      <w:pPr>
        <w:pStyle w:val="ListBullet"/>
      </w:pPr>
      <w:r>
        <w:rPr>
          <w:rFonts w:ascii="Liberation Sans" w:hAnsi="Liberation Sans"/>
          <w:sz w:val="18"/>
        </w:rPr>
        <w:t>Security and resilience controls must be verified by independent testing before go-live.</w:t>
      </w:r>
    </w:p>
    <w:p>
      <w:pPr>
        <w:pStyle w:val="ListBullet"/>
      </w:pPr>
      <w:r>
        <w:rPr>
          <w:rFonts w:ascii="Liberation Sans" w:hAnsi="Liberation Sans"/>
          <w:sz w:val="18"/>
        </w:rPr>
        <w:t>Audit logs must be tamper-evident, searchable and retained according to approved schedule.</w:t>
      </w:r>
    </w:p>
    <w:p>
      <w:pPr>
        <w:pStyle w:val="ListBullet"/>
      </w:pPr>
      <w:r>
        <w:rPr>
          <w:rFonts w:ascii="Liberation Sans" w:hAnsi="Liberation Sans"/>
          <w:sz w:val="18"/>
        </w:rPr>
        <w:t>Business continuity and DR procedures must be exercised periodically and after significant changes.</w:t>
      </w:r>
    </w:p>
    <w:p>
      <w:r>
        <w:br w:type="page"/>
      </w:r>
    </w:p>
    <w:p>
      <w:pPr>
        <w:pStyle w:val="Heading1"/>
      </w:pPr>
      <w:r>
        <w:rPr>
          <w:rFonts w:ascii="Liberation Sans" w:hAnsi="Liberation Sans"/>
          <w:color w:val="1F4E79"/>
          <w:sz w:val="32"/>
        </w:rPr>
        <w:t>Appendix A - Source Requirement Mapping</w:t>
      </w:r>
    </w:p>
    <w:p>
      <w:pPr>
        <w:spacing w:after="120"/>
        <w:jc w:val="both"/>
      </w:pPr>
      <w:r>
        <w:rPr>
          <w:rFonts w:ascii="Liberation Sans" w:hAnsi="Liberation Sans"/>
          <w:sz w:val="18"/>
        </w:rPr>
        <w:t>The table below maps each source one-liner from the workbook to the logical group and BRD section. The detailed traceability workbook delivered with this BRD provides a more detailed matrix.</w:t>
      </w:r>
    </w:p>
    <w:tbl>
      <w:tblPr>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Source</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Original section</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One-liner requirement</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Support/status</w:t>
            </w:r>
          </w:p>
        </w:tc>
        <w:tc>
          <w:tcPr>
            <w:tcW w:type="dxa" w:w="2131"/>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Mapped group/BRD</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Personal Management Trust (PMT)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 / BRD-01 - Core Trust, IMA &amp; Specialized Trust Products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Investment Management Activity (IMA)</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 / BRD-01 - Core Trust, IMA &amp; Specialized Trust Products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R9</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Pre-Need Trust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 / BRD-01 - Core Trust, IMA &amp; Specialized Trust Products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R10</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Employee Benefit Trust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G1 / BRD-01 - Core Trust, IMA &amp; Specialized Trust Products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R11</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R12</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Unit Investment Trust Fund - UITF</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G2 / BRD-02 - UITF Fund Operations &amp; Distribution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Deposits - Time Deposit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Fixed Income - Corporate Bonds, Government Securities, Corporate Bonds, Tier 2, etc</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Equities - Preferred Shares, Common Shares, Private Equity, Non-Equity REITS, Non-Listed Equities, INMES ( Investment in a Non-Marketable Equity Security)</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R19</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Structured Products - Combination of two or more separate stand‐alone derivatives contracts, or stand‐alone derivatives contract/s and a plain vanilla cash instrument, where the instruments are offered or distributed together.</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R20</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Collective  Investment Schemes - ETFs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R21</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Collective  Investment Schemes - UITFs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R22</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Collective  Investment Schemes - Foreign Exchange spots, forwards, NDFs, swaps, etc</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R23</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Currencies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R24</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a. plain vanilla interest rate swaps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R25</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b. plain vanilla cross currency swaps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c. plain vanilla total return swaps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d. plain vanilla credit default swaps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e. FX forwards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R29</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f. FX options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R30</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g. bond forwards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R31</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h. bond futures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R32</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i. bond options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R33</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j. equity warrants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R34</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Derivatives - k. equity options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R35</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Commodities - e.g. Gold, Silver</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Alternate Investments - Real Estate, Life Insurance Policies and other Accountable Forms, Employee Loans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Collateral - Margin Finance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Collateral - Mortgage Collateral</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R39</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Collateral - Repos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R40</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Underlying Investment Products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Collateral - Back to Back</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G3 / BRD-03 - Investment Instruments, Portfolio Operations &amp; Valuation</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R44</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Escrow (DMW,BIR/CGT,DHSUD,NLRC,IPO Locked Up Shares,Buy &amp; Sell and Other Escrow, Franchise)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R45</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Court Trust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Mortgage/Collateral Trust Indenture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Bond Trust Indenture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Notes Facility and / Paying Agency (for loans/notes principal and interest payment)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Configuration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R49</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Receiving and Paying Agency (i.e. IPO (initial public offering), FOO (follow on offering)) ​</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R50</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Stock Transfer Agency</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R51</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Life Insurance Trust</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with Customization</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R52</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Property Administration and Safekeeping</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List R53</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Other Fiduciary Services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Electronic Money Issuer (EMI)</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Supported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G4 / BRD-04 - Fiduciary, Agency, Escrow &amp; Safekeeping Services</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Structure R5</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Logical Data Structure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 Core Data Entities - Identify and describe the key business entities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 / BRD-05 - Enterprise Data Model &amp; Data Governance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Structure R6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Logical Data Structure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 Entity Hierarchy - Describe and illustrate entity hierarchies and support for multiple levels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 / BRD-05 - Enterprise Data Model &amp; Data Governance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Structure R7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Logical Data Structure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 Entity Relationships - Explain how entities relate to each other</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 / BRD-05 - Enterprise Data Model &amp; Data Governance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Structure R8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Logical Data Structure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 Diagrams - Provide visual diagrams to illustrate the data structure. Diagrams should clearly show the Entities, Relationships, and Hierarchies.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 / BRD-05 - Enterprise Data Model &amp; Data Governance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Data Structure R9</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Logical Data Structure</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e. Sample Data Models  - Include illustrative samples demonstrating how the model is applied in practice both simple and complex scenarios.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G5 / BRD-05 - Enterprise Data Model &amp; Data Governance</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Access &amp; Channels R6</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Access &amp; Channels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Client-facing Portal</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Available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 / BRD-06 - Digital Access, Portals &amp; Platform Availability</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Access &amp; Channels R7</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Access &amp; Channels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Relationship Manager (RM) Portal</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Available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 / BRD-06 - Digital Access, Portals &amp; Platform Availability</w:t>
            </w:r>
          </w:p>
        </w:tc>
      </w:tr>
      <w:tr>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Access &amp; Channels R8</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System Access &amp; Channels</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Branch-level Access (for UITF)</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Available (OOTB)</w:t>
            </w:r>
          </w:p>
        </w:tc>
        <w:tc>
          <w:tcPr>
            <w:tcW w:type="dxa" w:w="2131"/>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G6 / BRD-06 - Digital Access, Portals &amp; Platform Availability</w:t>
            </w:r>
          </w:p>
        </w:tc>
      </w:tr>
    </w:tbl>
    <w:p>
      <w:r>
        <w:br w:type="page"/>
      </w:r>
    </w:p>
    <w:p>
      <w:pPr>
        <w:pStyle w:val="Heading1"/>
      </w:pPr>
      <w:r>
        <w:rPr>
          <w:rFonts w:ascii="Liberation Sans" w:hAnsi="Liberation Sans"/>
          <w:color w:val="1F4E79"/>
          <w:sz w:val="32"/>
        </w:rPr>
        <w:t>Appendix B - Regulatory Reference List</w:t>
      </w:r>
    </w:p>
    <w:p>
      <w:pPr>
        <w:spacing w:after="120"/>
        <w:jc w:val="both"/>
      </w:pPr>
      <w:r>
        <w:rPr>
          <w:rFonts w:ascii="Liberation Sans" w:hAnsi="Liberation Sans"/>
          <w:sz w:val="18"/>
        </w:rPr>
        <w:t>These references were used as domain anchors for the BRD elaboration. The bank should validate current circulars, internal policies and legal interpretations before build and go-live.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Ref</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Title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URL</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Use in BRD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REF-01</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Manual of Regulations for Banks (MORB) landing page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https://www.bsp.gov.ph/SitePages/Regulations/MORB.aspx</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MORB is updated regularly and published circulars prevail where inconsistencies exist.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MORB Part IV - Trust and Other Fiduciary Business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https://www.bsp.gov.ph/Regulations/MORB/2023_MORB/2023_MORB%20P4/2023_Part%20IV_02%20Trust%20and%20Other%20Fiduciary%20Business.pdf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authority, organization/management, UITF, IMA, security deposit and reserves.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REF-03</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MORB Part IX - AML/CFT Regulations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https://www.bsp.gov.ph/Regulations/MORB/2023_MORB/2023_MORB_P9/2023_Part%20IX_01_AML%20CFT%20Regulations.pdf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Covered persons include trust entities; monitoring, reporting, record keeping and AML controls.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REF-04</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Circular No. 982 - Enhanced Guidelines on Information Security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https://www.bsp.gov.ph/Regulations/Issuances/2017/c982.pdf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Information security governance and cyber controls for BSFIs.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REF-05</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Circular No. 1203 - Guidelines on Operational Resilience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https://www.bsp.gov.ph/Regulations/Issuances/2024/1203.pdf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Operational resilience expectations for critical operations and disruption management.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REF-06</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National Privacy Commission - Republic Act 10173 Data Privacy Act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https://privacy.gov.ph/data-privacy-act/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Security of personal information, data subject rights and controller accountability.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REF-07</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National Privacy Commission - IRR of the Data Privacy Act of 2012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https://privacy.gov.ph/implementing-rules-regulations-data-privacy-act-2012/</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Consent, definitions, outsourcing/subcontracting, registration/compliance and breach provisions.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REF-08</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Republic Act No. 8792 - Electronic Commerce Act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https://www.bsp.gov.ph/PaymentAndSettlement/RA8792.pdf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Legal recognition of electronic signatures and electronic records.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REF-09</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Circular No. 1122 - Open Finance Framework</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https://www.bsp.gov.ph/Regulations/Issuances/2021/1122.pdf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Consent-driven data portability and customer permissioned data sharing.</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REF-10</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BSP Memorandum M-2022-046 - FAQs on Outsourcing and IT Risk Management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https://www.bsp.gov.ph/Regulations/Issuances/2022/M-2022-046.pdf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Materiality assessment, outsourcing register, cloud outsourcing and IT outsourcing questionnaire guidance.</w:t>
            </w:r>
          </w:p>
        </w:tc>
      </w:tr>
    </w:tbl>
    <w:p>
      <w:r>
        <w:br w:type="page"/>
      </w:r>
    </w:p>
    <w:p>
      <w:pPr>
        <w:pStyle w:val="Heading1"/>
      </w:pPr>
      <w:r>
        <w:rPr>
          <w:rFonts w:ascii="Liberation Sans" w:hAnsi="Liberation Sans"/>
          <w:color w:val="1F4E79"/>
          <w:sz w:val="32"/>
        </w:rPr>
        <w:t>Appendix C - Conceptual Data Model and Sample Scenarios</w:t>
      </w:r>
    </w:p>
    <w:p>
      <w:pPr>
        <w:pStyle w:val="Heading2"/>
      </w:pPr>
      <w:r>
        <w:rPr>
          <w:rFonts w:ascii="Liberation Sans" w:hAnsi="Liberation Sans"/>
          <w:color w:val="2F5496"/>
          <w:sz w:val="26"/>
        </w:rPr>
        <w:t>Conceptual entity hierarchy</w:t>
      </w:r>
    </w:p>
    <w:p>
      <w:pPr>
        <w:spacing w:after="160"/>
        <w:ind w:left="360"/>
      </w:pPr>
      <w:r>
        <w:rPr>
          <w:rFonts w:ascii="Courier New" w:hAnsi="Courier New"/>
          <w:sz w:val="16"/>
        </w:rPr>
        <w:t>Bank Legal Entity</w:t>
        <w:br/>
        <w:t xml:space="preserve">  -&gt; Trust Department / Trust Business Unit</w:t>
        <w:br/>
        <w:t xml:space="preserve">      -&gt; Product Group (Core Trust, UITF, IMA, Fiduciary Agency)</w:t>
        <w:br/>
        <w:t xml:space="preserve">          -&gt; Product or Service Type</w:t>
        <w:br/>
        <w:t xml:space="preserve">              -&gt; Account / Fund / Fiduciary Service Agreement</w:t>
        <w:br/>
        <w:t xml:space="preserve">                  -&gt; Mandate / Plan Rules / Service Conditions</w:t>
        <w:br/>
        <w:t xml:space="preserve">                      -&gt; Portfolio / Unit Registry / Service Case</w:t>
        <w:br/>
        <w:t xml:space="preserve">                          -&gt; Holdings / Units / Cash / Documents / Events</w:t>
        <w:br/>
        <w:t xml:space="preserve">                              -&gt; Transactions / Valuations / Approvals / Audit Logs</w:t>
      </w:r>
    </w:p>
    <w:p>
      <w:pPr>
        <w:pStyle w:val="Heading2"/>
      </w:pPr>
      <w:r>
        <w:rPr>
          <w:rFonts w:ascii="Liberation Sans" w:hAnsi="Liberation Sans"/>
          <w:color w:val="2F5496"/>
          <w:sz w:val="26"/>
        </w:rPr>
        <w:t>Core entity relationship summary</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Entity</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Purpose</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Key relationships</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5"/>
              </w:rPr>
            </w:r>
            <w:r>
              <w:rPr>
                <w:rFonts w:ascii="Liberation Sans" w:hAnsi="Liberation Sans"/>
                <w:b/>
                <w:color w:val="FFFFFF"/>
                <w:sz w:val="15"/>
              </w:rPr>
              <w:t>Example fields</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Party/CIF</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Holds individuals, corporates, agencies, issuers and counterparties.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Linked to accounts, funds, service agreements, transactions, KYC and documents through roles.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Party ID, legal name, type, tax ID, risk rating, KYC status, contact, privacy classification.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Trust Account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Represents PMT, IMA, pre-need or employee benefit relationship.</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Product, parties, mandate, portfolio, documents, fees, cash account, transactions.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Account ID, product, status, base currency, opening date, trust officer, review date.</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UITF Fund</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Represents a unitized fund managed by the trust entity.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Plan rules, NAV, portfolio, unit holders, orders, disclosures, compliance rules.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Fund code, category, risk class, NAVPU, cut-off, valuation calendar, KIIDS version.</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Fiduciary Agreement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Represents escrow, agency, indenture, registry or safekeeping service.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Parties, governing document, conditions, assets, payments, events, fees.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Service ID, type, agreement date, case/status, release conditions, document checklist.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Instrument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Represents investable asset or collateral item.</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Issuer/counterparty, holdings, trades, prices, income, corporate actions.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Identifier, asset class, currency, maturity, price source, risk class, valuation method.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Transaction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Financial or non-financial event.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Account/fund/service, party, instrument, cash, approvals, audit log.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Transaction ID, type, amount, units, currency, value date, status, source channel.</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Document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Stores legal, KYC, disclosure and operational evidence.</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Party, account, fund, service, transaction, workflow.</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Document ID, type, version, effective date, signer, hash, retention/legal hold.</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Workflow/Approval</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Controls maker-checker and exception handling.</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Account, order, NAV, payment, document, master data, incident.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3"/>
              </w:rPr>
            </w:r>
            <w:r>
              <w:rPr>
                <w:rFonts w:ascii="Liberation Sans" w:hAnsi="Liberation Sans"/>
                <w:b w:val="0"/>
                <w:sz w:val="13"/>
              </w:rPr>
              <w:t>Step, user, role, decision, timestamp, comments, SLA.</w:t>
            </w:r>
          </w:p>
        </w:tc>
      </w:tr>
    </w:tbl>
    <w:p>
      <w:pPr>
        <w:pStyle w:val="Heading2"/>
      </w:pPr>
      <w:r>
        <w:rPr>
          <w:rFonts w:ascii="Liberation Sans" w:hAnsi="Liberation Sans"/>
          <w:color w:val="2F5496"/>
          <w:sz w:val="26"/>
        </w:rPr>
        <w:t>Sample scenario 1 - Retail UITF client through branch</w:t>
      </w:r>
    </w:p>
    <w:p>
      <w:pPr>
        <w:pStyle w:val="ListNumber"/>
      </w:pPr>
      <w:r>
        <w:rPr>
          <w:rFonts w:ascii="Liberation Sans" w:hAnsi="Liberation Sans"/>
          <w:sz w:val="18"/>
        </w:rPr>
        <w:t>Branch user searches client, verifies KYC status and risk profile.</w:t>
      </w:r>
    </w:p>
    <w:p>
      <w:pPr>
        <w:pStyle w:val="ListNumber"/>
      </w:pPr>
      <w:r>
        <w:rPr>
          <w:rFonts w:ascii="Liberation Sans" w:hAnsi="Liberation Sans"/>
          <w:sz w:val="18"/>
        </w:rPr>
        <w:t>Client selects UITF fund; system validates suitability, disclosure acknowledgement, minimum amount, funding account and cut-off.</w:t>
      </w:r>
    </w:p>
    <w:p>
      <w:pPr>
        <w:pStyle w:val="ListNumber"/>
      </w:pPr>
      <w:r>
        <w:rPr>
          <w:rFonts w:ascii="Liberation Sans" w:hAnsi="Liberation Sans"/>
          <w:sz w:val="18"/>
        </w:rPr>
        <w:t>Subscription order is captured and routed for operations processing if required.</w:t>
      </w:r>
    </w:p>
    <w:p>
      <w:pPr>
        <w:pStyle w:val="ListNumber"/>
      </w:pPr>
      <w:r>
        <w:rPr>
          <w:rFonts w:ascii="Liberation Sans" w:hAnsi="Liberation Sans"/>
          <w:sz w:val="18"/>
        </w:rPr>
        <w:t>After NAVPU approval, units are allocated, cash is settled, confirmation is produced and the client portal/mobile balance is updated.</w:t>
      </w:r>
    </w:p>
    <w:p>
      <w:pPr>
        <w:pStyle w:val="Heading2"/>
      </w:pPr>
      <w:r>
        <w:rPr>
          <w:rFonts w:ascii="Liberation Sans" w:hAnsi="Liberation Sans"/>
          <w:color w:val="2F5496"/>
          <w:sz w:val="26"/>
        </w:rPr>
        <w:t>Sample scenario 2 - Corporate bond trust with escrow and collateral</w:t>
      </w:r>
    </w:p>
    <w:p>
      <w:pPr>
        <w:pStyle w:val="ListNumber"/>
      </w:pPr>
      <w:r>
        <w:rPr>
          <w:rFonts w:ascii="Liberation Sans" w:hAnsi="Liberation Sans"/>
          <w:sz w:val="18"/>
        </w:rPr>
        <w:t>Issuer, bondholders, collateral providers and escrow parties are created as Party records with roles.</w:t>
      </w:r>
    </w:p>
    <w:p>
      <w:pPr>
        <w:pStyle w:val="ListNumber"/>
      </w:pPr>
      <w:r>
        <w:rPr>
          <w:rFonts w:ascii="Liberation Sans" w:hAnsi="Liberation Sans"/>
          <w:sz w:val="18"/>
        </w:rPr>
        <w:t>Bond trust indenture service agreement is created with covenants, payment schedule, notice obligations and collateral inventory.</w:t>
      </w:r>
    </w:p>
    <w:p>
      <w:pPr>
        <w:pStyle w:val="ListNumber"/>
      </w:pPr>
      <w:r>
        <w:rPr>
          <w:rFonts w:ascii="Liberation Sans" w:hAnsi="Liberation Sans"/>
          <w:sz w:val="18"/>
        </w:rPr>
        <w:t>Escrow account captures conditions for fund release; collateral trust records track mortgage/security documents, valuations and insurance.</w:t>
      </w:r>
    </w:p>
    <w:p>
      <w:pPr>
        <w:pStyle w:val="ListNumber"/>
      </w:pPr>
      <w:r>
        <w:rPr>
          <w:rFonts w:ascii="Liberation Sans" w:hAnsi="Liberation Sans"/>
          <w:sz w:val="18"/>
        </w:rPr>
        <w:t>Paying agency process receives issuer funds, calculates principal/interest/tax, pays investors and reconciles cash/GL.</w:t>
      </w:r>
    </w:p>
    <w:p>
      <w:pPr>
        <w:pStyle w:val="ListNumber"/>
      </w:pPr>
      <w:r>
        <w:rPr>
          <w:rFonts w:ascii="Liberation Sans" w:hAnsi="Liberation Sans"/>
          <w:sz w:val="18"/>
        </w:rPr>
        <w:t>Events of default, covenant breaches, releases and notices are tracked in the service case engine with legal document evidence.</w:t>
      </w:r>
    </w:p>
    <w:p>
      <w:r>
        <w:br w:type="page"/>
      </w:r>
    </w:p>
    <w:p>
      <w:pPr>
        <w:pStyle w:val="Heading1"/>
      </w:pPr>
      <w:r>
        <w:rPr>
          <w:rFonts w:ascii="Liberation Sans" w:hAnsi="Liberation Sans"/>
          <w:color w:val="1F4E79"/>
          <w:sz w:val="32"/>
        </w:rPr>
        <w:t>Appendix D - Fit-Gap and Implementation Priorities</w:t>
      </w:r>
    </w:p>
    <w:p>
      <w:pPr>
        <w:spacing w:after="120"/>
        <w:jc w:val="both"/>
      </w:pPr>
      <w:r>
        <w:rPr>
          <w:rFonts w:ascii="Liberation Sans" w:hAnsi="Liberation Sans"/>
          <w:sz w:val="18"/>
        </w:rPr>
        <w:t>The source workbook already indicates the expected support mode. Items marked Supported with Customization are likely to require detailed functional specification, design estimates, proof-of-concept or vendor enhancement. Items marked Supported with Configuration should be planned during configuration design and UAT. Items marked OOTB still require demonstration, data mapping, workflow design and test evidence.</w:t>
      </w:r>
    </w:p>
    <w:tbl>
      <w:tblPr>
        <w:tblW w:type="auto" w:w="0"/>
        <w:jc w:val="center"/>
        <w:tblLayout w:type="autofit"/>
        <w:tblLook w:firstColumn="1" w:firstRow="1" w:lastColumn="0" w:lastRow="0" w:noHBand="0" w:noVBand="1" w:val="04A0"/>
      </w:tblPr>
      <w:tblGrid>
        <w:gridCol w:w="2664"/>
        <w:gridCol w:w="2664"/>
        <w:gridCol w:w="2664"/>
        <w:gridCol w:w="2664"/>
      </w:tblGrid>
      <w:tr>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Priority Area</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Reason</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Recommended action</w:t>
            </w:r>
          </w:p>
        </w:tc>
        <w:tc>
          <w:tcPr>
            <w:tcW w:type="dxa" w:w="2664"/>
            <w:vAlign w:val="top"/>
            <w:shd w:fill="1F4E79"/>
            <w:tcBorders>
              <w:top w:val="single" w:sz="4" w:color="D9E2EC"/>
              <w:left w:val="single" w:sz="4" w:color="D9E2EC"/>
              <w:bottom w:val="single" w:sz="4" w:color="D9E2EC"/>
              <w:right w:val="single" w:sz="4" w:color="D9E2EC"/>
            </w:tcBorders>
            <w:shd w:fill="1F4E79"/>
          </w:tcPr>
          <w:p>
            <w:pPr>
              <w:jc w:val="left"/>
            </w:pPr>
            <w:r>
              <w:rPr>
                <w:rFonts w:ascii="Liberation Sans" w:hAnsi="Liberation Sans"/>
                <w:b/>
                <w:color w:val="FFFFFF"/>
                <w:sz w:val="16"/>
              </w:rPr>
            </w:r>
            <w:r>
              <w:rPr>
                <w:rFonts w:ascii="Liberation Sans" w:hAnsi="Liberation Sans"/>
                <w:b/>
                <w:color w:val="FFFFFF"/>
                <w:sz w:val="16"/>
              </w:rPr>
              <w:t>Examples from source workbook</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High fit-gap attention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Customization or complex bespoke process.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Run vendor walkthrough, capture detailed design, estimate build, confirm controls and create UAT scripts.</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Currencies; IRS, cross-currency swaps, total return swaps, credit default swaps; receiving/paying agency for IPO/FOO; life insurance trust.</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Medium fit-gap attention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with Configuration and requires careful parameter/rule setup.</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Create configuration workbook, approval workflows, report templates and test data.</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FX forwards/options, bond forwards/futures/options, equity warrants, repos, back-to-back collateral, notes/paying agency.</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Standard implementation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Supported OOTB but still needs bank-specific data, workflow, integration and report configuration.</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Demonstrate OOTB capability and complete requirement-to-test traceability.</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PMT, IMA, pre-need trust, employee benefit trust, UITF, deposits, fixed income, equities, commodities, escrow, court trust, bond/collateral trust, stock transfer agency, safekeeping.</w:t>
            </w:r>
          </w:p>
        </w:tc>
      </w:tr>
      <w:tr>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Foundation workstream</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Required before product rollout.</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Finalize data model, reference data, user roles, integrations, migration strategy, control library and reporting approach.</w:t>
            </w:r>
          </w:p>
        </w:tc>
        <w:tc>
          <w:tcPr>
            <w:tcW w:type="dxa" w:w="2664"/>
            <w:vAlign w:val="top"/>
            <w:tcBorders>
              <w:top w:val="single" w:sz="4" w:color="D9E2EC"/>
              <w:left w:val="single" w:sz="4" w:color="D9E2EC"/>
              <w:bottom w:val="single" w:sz="4" w:color="D9E2EC"/>
              <w:right w:val="single" w:sz="4" w:color="D9E2EC"/>
            </w:tcBorders>
          </w:tcPr>
          <w:p>
            <w:pPr>
              <w:jc w:val="left"/>
            </w:pPr>
            <w:r>
              <w:rPr>
                <w:rFonts w:ascii="Liberation Sans" w:hAnsi="Liberation Sans"/>
                <w:sz w:val="14"/>
              </w:rPr>
            </w:r>
            <w:r>
              <w:rPr>
                <w:rFonts w:ascii="Liberation Sans" w:hAnsi="Liberation Sans"/>
                <w:b w:val="0"/>
                <w:sz w:val="14"/>
              </w:rPr>
              <w:t>Core data entities, entity hierarchy/relationships, portals, branch access and cross-cutting controls.</w:t>
            </w:r>
          </w:p>
        </w:tc>
      </w:tr>
    </w:tbl>
    <w:p/>
    <w:p>
      <w:pPr>
        <w:spacing w:after="120"/>
        <w:jc w:val="both"/>
      </w:pPr>
      <w:r>
        <w:rPr>
          <w:rFonts w:ascii="Liberation Sans" w:hAnsi="Liberation Sans"/>
          <w:sz w:val="18"/>
        </w:rPr>
        <w:t>End of document.</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95959"/>
        <w:sz w:val="16"/>
      </w:rPr>
      <w:t>Prepared for enterprise trust banking requirements elaboration - Confidential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95959"/>
        <w:sz w:val="16"/>
      </w:rPr>
      <w:t>Trust Banking Philippines BRD - Grouped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