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rPr>
          <w:b w:val="0"/>
          <w:sz w:val="22"/>
        </w:rPr>
        <w:t>This Mutual Non-Disclosure Agreement (the "Agreement") is made and entered into as of February 3, 2026 (the "Effective Date"), by and between Helix Robotics Ltd., a United Kingdom private company limited by shares, and Crestpoint Advisors LLP, a Texas limited liability partnership (each a "Party" and together the "Parties"). The Agreement continues in force for two (2) years from the Effective Date and expires on February 3, 2028.</w:t>
      </w:r>
    </w:p>
    <w:p>
      <w:pPr>
        <w:pStyle w:val="Heading2"/>
      </w:pPr>
      <w:r>
        <w:t>1. Purpose</w:t>
      </w:r>
    </w:p>
    <w:p>
      <w:r>
        <w:rPr>
          <w:b w:val="0"/>
          <w:sz w:val="22"/>
        </w:rPr>
        <w:t>The Parties wish to explore a potential business relationship (the "Purpose") and may disclose Confidential Information to each other in connection with the Purpose.</w:t>
      </w:r>
    </w:p>
    <w:p>
      <w:pPr>
        <w:pStyle w:val="Heading2"/>
      </w:pPr>
      <w:r>
        <w:t>2. Confidential Information</w:t>
      </w:r>
    </w:p>
    <w:p>
      <w:r>
        <w:rPr>
          <w:b w:val="0"/>
          <w:sz w:val="22"/>
        </w:rPr>
        <w:t>"Confidential Information" means non-public information disclosed by one Party to the other that is designated confidential or that reasonably should be understood to be confidential, including technical data, product plans and business terms.</w:t>
      </w:r>
    </w:p>
    <w:p>
      <w:pPr>
        <w:pStyle w:val="Heading2"/>
      </w:pPr>
      <w:r>
        <w:t>3. Obligations</w:t>
      </w:r>
    </w:p>
    <w:p>
      <w:r>
        <w:rPr>
          <w:b w:val="0"/>
          <w:sz w:val="22"/>
        </w:rPr>
        <w:t>The receiving Party shall use Confidential Information solely for the Purpose, protect it with at least the care it uses for its own confidential information, and not disclose it to third parties except to employees and advisers bound by equivalent obligations.</w:t>
      </w:r>
    </w:p>
    <w:p>
      <w:pPr>
        <w:pStyle w:val="Heading2"/>
      </w:pPr>
      <w:r>
        <w:t>4. Exclusions</w:t>
      </w:r>
    </w:p>
    <w:p>
      <w:r>
        <w:rPr>
          <w:b w:val="0"/>
          <w:sz w:val="22"/>
        </w:rPr>
        <w:t>Confidential Information does not include information that is or becomes public through no breach, was rightfully known before disclosure, is independently developed, or is rightfully received from a third party without duty of confidentiality.</w:t>
      </w:r>
    </w:p>
    <w:p>
      <w:pPr>
        <w:pStyle w:val="Heading2"/>
      </w:pPr>
      <w:r>
        <w:t>5. Term and No Renewal</w:t>
      </w:r>
    </w:p>
    <w:p>
      <w:r>
        <w:rPr>
          <w:b w:val="0"/>
          <w:sz w:val="22"/>
        </w:rPr>
        <w:t>The confidentiality obligations survive for three (3) years after the expiry or termination of this Agreement. This Agreement does not contain any automatic renewal; any extension requires a fresh signed writing.</w:t>
      </w:r>
    </w:p>
    <w:p>
      <w:pPr>
        <w:pStyle w:val="Heading2"/>
      </w:pPr>
      <w:r>
        <w:t>6. Termination</w:t>
      </w:r>
    </w:p>
    <w:p>
      <w:r>
        <w:rPr>
          <w:b w:val="0"/>
          <w:sz w:val="22"/>
        </w:rPr>
        <w:t>Either Party may terminate this Agreement for convenience upon thirty (30) days' written notice, provided that termination does not relieve either Party of obligations with respect to Confidential Information already received.</w:t>
      </w:r>
    </w:p>
    <w:p>
      <w:pPr>
        <w:pStyle w:val="Heading2"/>
      </w:pPr>
      <w:r>
        <w:t>7. Remedies and Governing Law</w:t>
      </w:r>
    </w:p>
    <w:p>
      <w:r>
        <w:rPr>
          <w:b w:val="0"/>
          <w:sz w:val="22"/>
        </w:rPr>
        <w:t>The Parties acknowledge that unauthorized disclosure may cause irreparable harm for which damages are inadequate, entitling the disclosing Party to seek injunctive relief. This Agreement is governed by the laws of the State of Texas.</w:t>
      </w:r>
    </w:p>
    <w:p/>
    <w:p>
      <w:r>
        <w:rPr>
          <w:b w:val="0"/>
          <w:sz w:val="22"/>
        </w:rPr>
        <w:t>IN WITNESS WHEREOF, the Parties have executed this Agreement as of the Effective Date.</w:t>
      </w:r>
    </w:p>
    <w:p/>
    <w:p>
      <w:r>
        <w:t>_____________________________</w:t>
      </w:r>
    </w:p>
    <w:p>
      <w:r>
        <w:rPr>
          <w:b/>
          <w:sz w:val="22"/>
        </w:rPr>
        <w:t>Helix Robotics Ltd.</w:t>
      </w:r>
    </w:p>
    <w:p>
      <w:r>
        <w:t>_____________________________</w:t>
      </w:r>
    </w:p>
    <w:p>
      <w:r>
        <w:rPr>
          <w:b/>
          <w:sz w:val="22"/>
        </w:rPr>
        <w:t>Crestpoint Advisors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