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Consulting Services Agreement</w:t>
      </w:r>
    </w:p>
    <w:p>
      <w:r>
        <w:rPr>
          <w:b w:val="0"/>
          <w:sz w:val="22"/>
        </w:rPr>
        <w:t>This Consulting Services Agreement (the "Agreement") is entered into as of May 9, 2026 (the "Effective Date") by and between Oakfield Health Group PC, a Michigan professional corporation ("Client"), and Stratwin Consulting Ltd., a Delaware limited liability company ("Consultant"). The initial term is twenty-four (24) months.</w:t>
      </w:r>
    </w:p>
    <w:p>
      <w:pPr>
        <w:pStyle w:val="Heading2"/>
      </w:pPr>
      <w:r>
        <w:t>1. Engagement</w:t>
      </w:r>
    </w:p>
    <w:p>
      <w:r>
        <w:rPr>
          <w:b w:val="0"/>
          <w:sz w:val="22"/>
        </w:rPr>
        <w:t>Client engages Consultant to provide operational-efficiency consulting services described in Project Charter A, and Consultant accepts such engagement under the terms of this Agreement.</w:t>
      </w:r>
    </w:p>
    <w:p>
      <w:pPr>
        <w:pStyle w:val="Heading2"/>
      </w:pPr>
      <w:r>
        <w:t>2. Statement of Work and License</w:t>
      </w:r>
    </w:p>
    <w:p>
      <w:r>
        <w:rPr>
          <w:b w:val="0"/>
          <w:sz w:val="22"/>
        </w:rPr>
        <w:t>Each deliverable prepared by Consultant for Client is licensed to Client upon full payment under a perpetual, non-transferable, internal-use license; Consultant retains all pre-existing intellectual property.</w:t>
      </w:r>
    </w:p>
    <w:p>
      <w:pPr>
        <w:pStyle w:val="Heading2"/>
      </w:pPr>
      <w:r>
        <w:t>3. Term and Renewal</w:t>
      </w:r>
    </w:p>
    <w:p>
      <w:r>
        <w:rPr>
          <w:b w:val="0"/>
          <w:sz w:val="22"/>
        </w:rPr>
        <w:t>This Agreement shall automatically renew for successive one (1) year renewal terms unless either Party gives written notice of non-renewal at least sixty (60) days before the end of the then-current term.</w:t>
      </w:r>
    </w:p>
    <w:p>
      <w:pPr>
        <w:pStyle w:val="Heading2"/>
      </w:pPr>
      <w:r>
        <w:t>4. Termination for Convenience</w:t>
      </w:r>
    </w:p>
    <w:p>
      <w:r>
        <w:rPr>
          <w:b w:val="0"/>
          <w:sz w:val="22"/>
        </w:rPr>
        <w:t>Client may terminate this Agreement for convenience upon forty-five (45) days' written notice, paying only for Services rendered through the termination date. Consultant may terminate for convenience upon ninety (90) days' notice.</w:t>
      </w:r>
    </w:p>
    <w:p>
      <w:pPr>
        <w:pStyle w:val="Heading2"/>
      </w:pPr>
      <w:r>
        <w:t>5. Assignment</w:t>
      </w:r>
    </w:p>
    <w:p>
      <w:r>
        <w:rPr>
          <w:b w:val="0"/>
          <w:sz w:val="22"/>
        </w:rPr>
        <w:t>Neither Party may assign this Agreement without the prior written consent of the other Party, except to an affiliate or in connection with a reorganization upon notice.</w:t>
      </w:r>
    </w:p>
    <w:p>
      <w:pPr>
        <w:pStyle w:val="Heading2"/>
      </w:pPr>
      <w:r>
        <w:t>6. Records and Audit</w:t>
      </w:r>
    </w:p>
    <w:p>
      <w:r>
        <w:rPr>
          <w:b w:val="0"/>
          <w:sz w:val="22"/>
        </w:rPr>
        <w:t>Consultant shall keep records of time and expenses for twelve (12) months; Client may audit such records once per contract year on fifteen (15) days' notice.</w:t>
      </w:r>
    </w:p>
    <w:p>
      <w:pPr>
        <w:pStyle w:val="Heading2"/>
      </w:pPr>
      <w:r>
        <w:t>7. Confidentiality and Non-Compete</w:t>
      </w:r>
    </w:p>
    <w:p>
      <w:r>
        <w:rPr>
          <w:b w:val="0"/>
          <w:sz w:val="22"/>
        </w:rPr>
        <w:t>Consultant shall not, during the Term and for six (6) months afterwards, provide competing operational consulting services to any healthcare provider operating within fifty miles of Client's facilities if such engagement would use Client's confidential information.</w:t>
      </w:r>
    </w:p>
    <w:p>
      <w:pPr>
        <w:pStyle w:val="Heading2"/>
      </w:pPr>
      <w:r>
        <w:t>8. Limitation of Liability</w:t>
      </w:r>
    </w:p>
    <w:p>
      <w:r>
        <w:rPr>
          <w:b w:val="0"/>
          <w:sz w:val="22"/>
        </w:rPr>
        <w:t>Neither Party is liable for indirect damages, and each Party's aggregate liability shall not exceed the fees paid or payable in the twelve (12) months preceding the claim.</w:t>
      </w:r>
    </w:p>
    <w:p>
      <w:pPr>
        <w:pStyle w:val="Heading2"/>
      </w:pPr>
      <w:r>
        <w:t>9. Insurance</w:t>
      </w:r>
    </w:p>
    <w:p>
      <w:r>
        <w:rPr>
          <w:b w:val="0"/>
          <w:sz w:val="22"/>
        </w:rPr>
        <w:t>Consultant shall maintain professional liability (errors and omissions) insurance of not less than $2,000,000 in the aggregate and commercial general liability insurance of $1,000,000 per occurrence.</w:t>
      </w:r>
    </w:p>
    <w:p>
      <w:pPr>
        <w:pStyle w:val="Heading2"/>
      </w:pPr>
      <w:r>
        <w:t>10. Governing Law</w:t>
      </w:r>
    </w:p>
    <w:p>
      <w:r>
        <w:rPr>
          <w:b w:val="0"/>
          <w:sz w:val="22"/>
        </w:rPr>
        <w:t>This Agreement is governed by the laws of the State of Michigan, without regard to its conflict-of-laws rules.</w:t>
      </w:r>
    </w:p>
    <w:p/>
    <w:p>
      <w:r>
        <w:rPr>
          <w:b w:val="0"/>
          <w:sz w:val="22"/>
        </w:rPr>
        <w:t>IN WITNESS WHEREOF, the Parties have executed this Agreement as of the Effective Date.</w:t>
      </w:r>
    </w:p>
    <w:p/>
    <w:p>
      <w:r>
        <w:t>_____________________________</w:t>
      </w:r>
    </w:p>
    <w:p>
      <w:r>
        <w:rPr>
          <w:b/>
          <w:sz w:val="22"/>
        </w:rPr>
        <w:t>Oakfield Health Group PC</w:t>
      </w:r>
    </w:p>
    <w:p>
      <w:r>
        <w:t>_____________________________</w:t>
      </w:r>
    </w:p>
    <w:p>
      <w:r>
        <w:rPr>
          <w:b/>
          <w:sz w:val="22"/>
        </w:rPr>
        <w:t>Stratwin Consulting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