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Supply and Vendor Agreement</w:t>
      </w:r>
    </w:p>
    <w:p>
      <w:r>
        <w:rPr>
          <w:b w:val="0"/>
          <w:sz w:val="22"/>
        </w:rPr>
        <w:t>This Exclusive Supply and Vendor Agreement (the "Agreement") is entered into as of March 22, 2026 (the "Effective Date"), between Kestrel Baking Co., a Nevada corporation ("Purchaser"), and Sunhollow Farms Cooperative, an agricultural cooperative organized under Nevada law ("Supplier"). The initial term runs until March 21, 2027.</w:t>
      </w:r>
    </w:p>
    <w:p>
      <w:pPr>
        <w:pStyle w:val="Heading2"/>
      </w:pPr>
      <w:r>
        <w:t>1. Appointment and Exclusivity</w:t>
      </w:r>
    </w:p>
    <w:p>
      <w:r>
        <w:rPr>
          <w:b w:val="0"/>
          <w:sz w:val="22"/>
        </w:rPr>
        <w:t>Purchaser appoints Supplier as its exclusive supplier of organic stone-milled flour, and Purchaser agrees that it shall not purchase flour meeting this specification from any other supplier during the Term without Supplier's prior written consent.</w:t>
      </w:r>
    </w:p>
    <w:p>
      <w:pPr>
        <w:pStyle w:val="Heading2"/>
      </w:pPr>
      <w:r>
        <w:t>2. Orders and Delivery</w:t>
      </w:r>
    </w:p>
    <w:p>
      <w:r>
        <w:rPr>
          <w:b w:val="0"/>
          <w:sz w:val="22"/>
        </w:rPr>
        <w:t>Supplier shall deliver weekly quantities per the rolling forecast annexed hereto. Title and risk pass on delivery to Purchaser's facility.</w:t>
      </w:r>
    </w:p>
    <w:p>
      <w:pPr>
        <w:pStyle w:val="Heading2"/>
      </w:pPr>
      <w:r>
        <w:t>3. License to Branding Materials</w:t>
      </w:r>
    </w:p>
    <w:p>
      <w:r>
        <w:rPr>
          <w:b w:val="0"/>
          <w:sz w:val="22"/>
        </w:rPr>
        <w:t>Supplier grants Purchaser a limited, non-exclusive license to use Supplier's farm mark in Purchaser's point-of-sale materials describing product provenance during the Term.</w:t>
      </w:r>
    </w:p>
    <w:p>
      <w:pPr>
        <w:pStyle w:val="Heading2"/>
      </w:pPr>
      <w:r>
        <w:t>4. Term and Automatic Renewal</w:t>
      </w:r>
    </w:p>
    <w:p>
      <w:r>
        <w:rPr>
          <w:b w:val="0"/>
          <w:sz w:val="22"/>
        </w:rPr>
        <w:t>This Agreement automatically renews for successive twelve (12) month terms unless either Party gives written notice of non-renewal at least one hundred twenty (120) days before the end of the then-current term.</w:t>
      </w:r>
    </w:p>
    <w:p>
      <w:pPr>
        <w:pStyle w:val="Heading2"/>
      </w:pPr>
      <w:r>
        <w:t>5. Assignment</w:t>
      </w:r>
    </w:p>
    <w:p>
      <w:r>
        <w:rPr>
          <w:b w:val="0"/>
          <w:sz w:val="22"/>
        </w:rPr>
        <w:t>Neither Party may assign this Agreement or any of its rights hereunder without the other Party's prior written consent, except in connection with the sale of all substantially related assets.</w:t>
      </w:r>
    </w:p>
    <w:p>
      <w:pPr>
        <w:pStyle w:val="Heading2"/>
      </w:pPr>
      <w:r>
        <w:t>6. Termination</w:t>
      </w:r>
    </w:p>
    <w:p>
      <w:r>
        <w:rPr>
          <w:b w:val="0"/>
          <w:sz w:val="22"/>
        </w:rPr>
        <w:t>This Agreement may be terminated for uncured material breach on thirty (30) days' notice. There is no termination for convenience; Purchaser's minimum purchase commitments survive for the full Term.</w:t>
      </w:r>
    </w:p>
    <w:p>
      <w:pPr>
        <w:pStyle w:val="Heading2"/>
      </w:pPr>
      <w:r>
        <w:t>7. Limitation of Liability</w:t>
      </w:r>
    </w:p>
    <w:p>
      <w:r>
        <w:rPr>
          <w:b w:val="0"/>
          <w:sz w:val="22"/>
        </w:rPr>
        <w:t>Supplier shall not be liable for lost profits, and Supplier's aggregate liability shall not exceed the amounts paid by Purchaser in the three (3) months preceding the claim.</w:t>
      </w:r>
    </w:p>
    <w:p>
      <w:pPr>
        <w:pStyle w:val="Heading2"/>
      </w:pPr>
      <w:r>
        <w:t>8. Insurance</w:t>
      </w:r>
    </w:p>
    <w:p>
      <w:r>
        <w:rPr>
          <w:b w:val="0"/>
          <w:sz w:val="22"/>
        </w:rPr>
        <w:t>Supplier shall maintain product liability insurance of not less than $2,000,000 per occurrence and provide certificates annually.</w:t>
      </w:r>
    </w:p>
    <w:p>
      <w:pPr>
        <w:pStyle w:val="Heading2"/>
      </w:pPr>
      <w:r>
        <w:t>9. Governing Law</w:t>
      </w:r>
    </w:p>
    <w:p>
      <w:r>
        <w:rPr>
          <w:b w:val="0"/>
          <w:sz w:val="22"/>
        </w:rPr>
        <w:t>This Agreement is governed by the laws of the State of Nevada; venue lies in Washoe County.</w:t>
      </w:r>
    </w:p>
    <w:p/>
    <w:p>
      <w:r>
        <w:rPr>
          <w:b w:val="0"/>
          <w:sz w:val="22"/>
        </w:rPr>
        <w:t>IN WITNESS WHEREOF, the Parties have executed this Agreement as of the Effective Date.</w:t>
      </w:r>
    </w:p>
    <w:p/>
    <w:p>
      <w:r>
        <w:t>_____________________________</w:t>
      </w:r>
    </w:p>
    <w:p>
      <w:r>
        <w:rPr>
          <w:b/>
          <w:sz w:val="22"/>
        </w:rPr>
        <w:t>Kestrel Baking Co.</w:t>
      </w:r>
    </w:p>
    <w:p>
      <w:r>
        <w:t>_____________________________</w:t>
      </w:r>
    </w:p>
    <w:p>
      <w:r>
        <w:rPr>
          <w:b/>
          <w:sz w:val="22"/>
        </w:rPr>
        <w:t>Sunhollow Farms Cooperative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