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PROMISSORY NOTE AND LOAN AGREEMENT</w:t>
      </w:r>
    </w:p>
    <w:p>
      <w:r>
        <w:rPr>
          <w:b w:val="0"/>
          <w:sz w:val="22"/>
        </w:rPr>
        <w:t>This Loan Agreement and Promissory Note (the "Agreement") is entered into as of May 2, 2026 (the "Effective Date"), between Fidellar Credit Union, a state-chartered credit union ("Lender"), and Willowmere Learning Inc., a California nonprofit public benefit corporation ("Borrower"). The loan matures on May 2, 2031, and is not subject to any renewal term.</w:t>
      </w:r>
    </w:p>
    <w:p>
      <w:pPr>
        <w:pStyle w:val="Heading2"/>
      </w:pPr>
      <w:r>
        <w:t>1. Loan Amount and Purpose</w:t>
      </w:r>
    </w:p>
    <w:p>
      <w:r>
        <w:rPr>
          <w:b w:val="0"/>
          <w:sz w:val="22"/>
        </w:rPr>
        <w:t>Lender agrees to lend Borrower $150,000 (the "Loan") to finance classroom technology described in Exhibit A. Borrower shall use the Loan solely for that purpose.</w:t>
      </w:r>
    </w:p>
    <w:p>
      <w:pPr>
        <w:pStyle w:val="Heading2"/>
      </w:pPr>
      <w:r>
        <w:t>2. Interest and Repayment</w:t>
      </w:r>
    </w:p>
    <w:p>
      <w:r>
        <w:rPr>
          <w:b w:val="0"/>
          <w:sz w:val="22"/>
        </w:rPr>
        <w:t>The Loan bears interest at 6.25% per annum, amortized over sixty (60) months in equal monthly installments of $2,923.44, beginning June 1, 2026. There is no automatic renewal of this Agreement.</w:t>
      </w:r>
    </w:p>
    <w:p>
      <w:pPr>
        <w:pStyle w:val="Heading2"/>
      </w:pPr>
      <w:r>
        <w:t>3. Prepayment</w:t>
      </w:r>
    </w:p>
    <w:p>
      <w:r>
        <w:rPr>
          <w:b w:val="0"/>
          <w:sz w:val="22"/>
        </w:rPr>
        <w:t>Borrower may prepay the Loan in whole or in part at any time without premium or penalty.</w:t>
      </w:r>
    </w:p>
    <w:p>
      <w:pPr>
        <w:pStyle w:val="Heading2"/>
      </w:pPr>
      <w:r>
        <w:t>4. Security</w:t>
      </w:r>
    </w:p>
    <w:p>
      <w:r>
        <w:rPr>
          <w:b w:val="0"/>
          <w:sz w:val="22"/>
        </w:rPr>
        <w:t>The Loan is secured by the equipment described in Exhibit A under a security agreement; Borrower shall insure such equipment at full replacement value, with Lender named as loss payee.</w:t>
      </w:r>
    </w:p>
    <w:p>
      <w:pPr>
        <w:pStyle w:val="Heading2"/>
      </w:pPr>
      <w:r>
        <w:t>5. Covenants and Financial Audit</w:t>
      </w:r>
    </w:p>
    <w:p>
      <w:r>
        <w:rPr>
          <w:b w:val="0"/>
          <w:sz w:val="22"/>
        </w:rPr>
        <w:t>Borrower shall deliver annual financial statements within ninety (90) days of fiscal year end. Lender may review Borrower's financial records upon ten (10) business days' notice, no more than once per year.</w:t>
      </w:r>
    </w:p>
    <w:p>
      <w:pPr>
        <w:pStyle w:val="Heading2"/>
      </w:pPr>
      <w:r>
        <w:t>6. Events of Default and Termination Rights</w:t>
      </w:r>
    </w:p>
    <w:p>
      <w:r>
        <w:rPr>
          <w:b w:val="0"/>
          <w:sz w:val="22"/>
        </w:rPr>
        <w:t>Non-payment beyond ten (10) days after written notice, breach of covenants uncured for thirty (30) days, or insolvency are events of default entitling Lender to accelerate the Loan. Borrower has no right to prepay-and-terminate the relationship for convenience other than full repayment.</w:t>
      </w:r>
    </w:p>
    <w:p>
      <w:pPr>
        <w:pStyle w:val="Heading2"/>
      </w:pPr>
      <w:r>
        <w:t>7. Assignment</w:t>
      </w:r>
    </w:p>
    <w:p>
      <w:r>
        <w:rPr>
          <w:b w:val="0"/>
          <w:sz w:val="22"/>
        </w:rPr>
        <w:t>Borrower may not assign this Agreement or the equipment. Lender may assign its interest to another regulated lender upon written notice.</w:t>
      </w:r>
    </w:p>
    <w:p>
      <w:pPr>
        <w:pStyle w:val="Heading2"/>
      </w:pPr>
      <w:r>
        <w:t>8. Governing Law</w:t>
      </w:r>
    </w:p>
    <w:p>
      <w:r>
        <w:rPr>
          <w:b w:val="0"/>
          <w:sz w:val="22"/>
        </w:rPr>
        <w:t>This Agreement is governed by the laws of the State of California; venue lies in Alameda County.</w:t>
      </w:r>
    </w:p>
    <w:p/>
    <w:p>
      <w:r>
        <w:rPr>
          <w:b w:val="0"/>
          <w:sz w:val="22"/>
        </w:rPr>
        <w:t>IN WITNESS WHEREOF, the Parties have executed this Agreement as of the Effective Date.</w:t>
      </w:r>
    </w:p>
    <w:p/>
    <w:p>
      <w:r>
        <w:t>_____________________________</w:t>
      </w:r>
    </w:p>
    <w:p>
      <w:r>
        <w:rPr>
          <w:b/>
          <w:sz w:val="22"/>
        </w:rPr>
        <w:t>Fidellar Credit Union (Lender)</w:t>
      </w:r>
    </w:p>
    <w:p>
      <w:r>
        <w:t>_____________________________</w:t>
      </w:r>
    </w:p>
    <w:p>
      <w:r>
        <w:rPr>
          <w:b/>
          <w:sz w:val="22"/>
        </w:rPr>
        <w:t>Willowmere Learning Inc. (Borrower)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