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Software License Agreement</w:t>
      </w:r>
    </w:p>
    <w:p>
      <w:r>
        <w:rPr>
          <w:b w:val="0"/>
          <w:sz w:val="22"/>
        </w:rPr>
        <w:t>This Enterprise Software License Agreement (the "Agreement") is entered into as of August 14, 2026 (the "Effective Date"), between Norvant Systems Ltd., an Irish private company limited by shares ("Licensor"), and Pallas Insurance Group, a Connecticut corporation ("Licensee"). The license term is three (3) years, ending August 13, 2029.</w:t>
      </w:r>
    </w:p>
    <w:p>
      <w:pPr>
        <w:pStyle w:val="Heading2"/>
      </w:pPr>
      <w:r>
        <w:t>1. Grant of License</w:t>
      </w:r>
    </w:p>
    <w:p>
      <w:r>
        <w:rPr>
          <w:b w:val="0"/>
          <w:sz w:val="22"/>
        </w:rPr>
        <w:t>Licensor grants Licensee a non-exclusive, non-transferable, non-sublicensable license during the Term to install and use the Norvant claims-analytics platform, in object-code form only, for Licensee's internal business operations up to the licensed user count.</w:t>
      </w:r>
    </w:p>
    <w:p>
      <w:pPr>
        <w:pStyle w:val="Heading2"/>
      </w:pPr>
      <w:r>
        <w:t>2. Fees</w:t>
      </w:r>
    </w:p>
    <w:p>
      <w:r>
        <w:rPr>
          <w:b w:val="0"/>
          <w:sz w:val="22"/>
        </w:rPr>
        <w:t>Licensee shall pay an annual license fee of $96,000, invoiced yearly in advance, plus implementation fees as per Schedule 2.</w:t>
      </w:r>
    </w:p>
    <w:p>
      <w:pPr>
        <w:pStyle w:val="Heading2"/>
      </w:pPr>
      <w:r>
        <w:t>3. Term and Renewal</w:t>
      </w:r>
    </w:p>
    <w:p>
      <w:r>
        <w:rPr>
          <w:b w:val="0"/>
          <w:sz w:val="22"/>
        </w:rPr>
        <w:t>This Agreement automatically renews for successive one (1) year terms at the then-current list price unless Licensee gives written notice of non-renewal at least ninety (90) days before the end of the then-current term.</w:t>
      </w:r>
    </w:p>
    <w:p>
      <w:pPr>
        <w:pStyle w:val="Heading2"/>
      </w:pPr>
      <w:r>
        <w:t>4. Support and Updates</w:t>
      </w:r>
    </w:p>
    <w:p>
      <w:r>
        <w:rPr>
          <w:b w:val="0"/>
          <w:sz w:val="22"/>
        </w:rPr>
        <w:t>Licensor shall provide standard support (business-hours, next-business-day response) and make updates generally available to licensees at no additional charge.</w:t>
      </w:r>
    </w:p>
    <w:p>
      <w:pPr>
        <w:pStyle w:val="Heading2"/>
      </w:pPr>
      <w:r>
        <w:t>5. Assignment</w:t>
      </w:r>
    </w:p>
    <w:p>
      <w:r>
        <w:rPr>
          <w:b w:val="0"/>
          <w:sz w:val="22"/>
        </w:rPr>
        <w:t>Licensee may not assign, sublicense or otherwise transfer any rights under this Agreement without Licensor's prior written consent; any prohibited assignment is void.</w:t>
      </w:r>
    </w:p>
    <w:p>
      <w:pPr>
        <w:pStyle w:val="Heading2"/>
      </w:pPr>
      <w:r>
        <w:t>6. Termination</w:t>
      </w:r>
    </w:p>
    <w:p>
      <w:r>
        <w:rPr>
          <w:b w:val="0"/>
          <w:sz w:val="22"/>
        </w:rPr>
        <w:t>Licensor may terminate for uncured payment default on fifteen (15) days' notice; Licensee may terminate for convenience at the end of any contract year on ninety (90) days' notice with payment of the then-current annual fee.</w:t>
      </w:r>
    </w:p>
    <w:p>
      <w:pPr>
        <w:pStyle w:val="Heading2"/>
      </w:pPr>
      <w:r>
        <w:t>7. Audit Rights</w:t>
      </w:r>
    </w:p>
    <w:p>
      <w:r>
        <w:rPr>
          <w:b w:val="0"/>
          <w:sz w:val="22"/>
        </w:rPr>
        <w:t>Licensor may, no more than once per year and upon twenty (20) business days' notice, audit Licensee's usage during business hours to verify compliance with the licensed user count.</w:t>
      </w:r>
    </w:p>
    <w:p>
      <w:pPr>
        <w:pStyle w:val="Heading2"/>
      </w:pPr>
      <w:r>
        <w:t>8. Limitation of Liability</w:t>
      </w:r>
    </w:p>
    <w:p>
      <w:r>
        <w:rPr>
          <w:b w:val="0"/>
          <w:sz w:val="22"/>
        </w:rPr>
        <w:t>Excluding breaches of confidentiality and license misuse, each Party's aggregate liability shall not exceed the fees paid in the twelve (12) months preceding the claim.</w:t>
      </w:r>
    </w:p>
    <w:p>
      <w:pPr>
        <w:pStyle w:val="Heading2"/>
      </w:pPr>
      <w:r>
        <w:t>9. Insurance</w:t>
      </w:r>
    </w:p>
    <w:p>
      <w:r>
        <w:rPr>
          <w:b w:val="0"/>
          <w:sz w:val="22"/>
        </w:rPr>
        <w:t>Licensor shall maintain cyber-liability insurance of not less than $5,000,000 and commercial general liability insurance of $2,000,000 per occurrence.</w:t>
      </w:r>
    </w:p>
    <w:p>
      <w:pPr>
        <w:pStyle w:val="Heading2"/>
      </w:pPr>
      <w:r>
        <w:t>10. Governing Law</w:t>
      </w:r>
    </w:p>
    <w:p>
      <w:r>
        <w:rPr>
          <w:b w:val="0"/>
          <w:sz w:val="22"/>
        </w:rPr>
        <w:t>This Agreement is governed by the laws of Ireland; the Parties submit to the courts of Dublin, Ireland.</w:t>
      </w:r>
    </w:p>
    <w:p/>
    <w:p>
      <w:r>
        <w:rPr>
          <w:b w:val="0"/>
          <w:sz w:val="22"/>
        </w:rPr>
        <w:t>IN WITNESS WHEREOF, the Parties have executed this Agreement as of the Effective Date.</w:t>
      </w:r>
    </w:p>
    <w:p/>
    <w:p>
      <w:r>
        <w:t>_____________________________</w:t>
      </w:r>
    </w:p>
    <w:p>
      <w:r>
        <w:rPr>
          <w:b/>
          <w:sz w:val="22"/>
        </w:rPr>
        <w:t>Norvant Systems Ltd. (Licensor)</w:t>
      </w:r>
    </w:p>
    <w:p>
      <w:r>
        <w:t>_____________________________</w:t>
      </w:r>
    </w:p>
    <w:p>
      <w:r>
        <w:rPr>
          <w:b/>
          <w:sz w:val="22"/>
        </w:rPr>
        <w:t>Pallas Insurance Group (Licensee)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