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REAL ESTATE PURCHASE AND SALE AGREEMENT</w:t>
      </w:r>
    </w:p>
    <w:p>
      <w:r>
        <w:rPr>
          <w:b w:val="0"/>
          <w:sz w:val="22"/>
        </w:rPr>
        <w:t>This Purchase and Sale Agreement (the "Agreement") is made and entered into as of September 3, 2026 (the "Effective Date"), by and between Corliss Holdings LP, a Delaware limited partnership ("Seller"), and Ferrostrand Capital LLC, a New York limited liability company ("Buyer"), for the purchase and sale of the warehouse property at 1180 Tannery Road, Newark, New Jersey (the "Property"). This Agreement terminates automatically at the Outside Closing Date of December 15, 2026, unless the closing has occurred; there is no renewal.</w:t>
      </w:r>
    </w:p>
    <w:p>
      <w:pPr>
        <w:pStyle w:val="Heading2"/>
      </w:pPr>
      <w:r>
        <w:t>1. Purchase and Sale</w:t>
      </w:r>
    </w:p>
    <w:p>
      <w:r>
        <w:rPr>
          <w:b w:val="0"/>
          <w:sz w:val="22"/>
        </w:rPr>
        <w:t>Seller agrees to sell and Buyer agrees to purchase the Property, together with all improvements and fixtures, for a purchase price of $4,250,000 (the "Purchase Price"), payable at closing by wire transfer.</w:t>
      </w:r>
    </w:p>
    <w:p>
      <w:pPr>
        <w:pStyle w:val="Heading2"/>
      </w:pPr>
      <w:r>
        <w:t>2. Earnest Money</w:t>
      </w:r>
    </w:p>
    <w:p>
      <w:r>
        <w:rPr>
          <w:b w:val="0"/>
          <w:sz w:val="22"/>
        </w:rPr>
        <w:t>Within three (3) business days of the Effective Date, Buyer shall deposit $125,000 with Granite Title Escrow ("Escrow Agent") as earnest money, credited against the Purchase Price at closing.</w:t>
      </w:r>
    </w:p>
    <w:p>
      <w:pPr>
        <w:pStyle w:val="Heading2"/>
      </w:pPr>
      <w:r>
        <w:t>3. Due Diligence</w:t>
      </w:r>
    </w:p>
    <w:p>
      <w:r>
        <w:rPr>
          <w:b w:val="0"/>
          <w:sz w:val="22"/>
        </w:rPr>
        <w:t>Buyer shall have forty-five (45) days from the Effective Date to inspect the Property, review title and environmental reports, and may terminate for any reason during that period by notice to Escrow Agent, receiving a full refund of earnest money.</w:t>
      </w:r>
    </w:p>
    <w:p>
      <w:pPr>
        <w:pStyle w:val="Heading2"/>
      </w:pPr>
      <w:r>
        <w:t>4. Assignment</w:t>
      </w:r>
    </w:p>
    <w:p>
      <w:r>
        <w:rPr>
          <w:b w:val="0"/>
          <w:sz w:val="22"/>
        </w:rPr>
        <w:t>Buyer may assign this Agreement to an affiliate or to a single-purpose entity formed to acquire the Property upon written notice; Seller may assign to a partnership affiliate.</w:t>
      </w:r>
    </w:p>
    <w:p>
      <w:pPr>
        <w:pStyle w:val="Heading2"/>
      </w:pPr>
      <w:r>
        <w:t>5. Termination Rights</w:t>
      </w:r>
    </w:p>
    <w:p>
      <w:r>
        <w:rPr>
          <w:b w:val="0"/>
          <w:sz w:val="22"/>
        </w:rPr>
        <w:t>In addition to due-diligence termination, either Party may terminate if the closing has not occurred by the Outside Closing Date due to the other Party's uncured default; the prevailing party receives the earnest money as its sole and exclusive remedy, subject to the cap in Section 8.</w:t>
      </w:r>
    </w:p>
    <w:p>
      <w:pPr>
        <w:pStyle w:val="Heading2"/>
      </w:pPr>
      <w:r>
        <w:t>6. Brokerage</w:t>
      </w:r>
    </w:p>
    <w:p>
      <w:r>
        <w:rPr>
          <w:b w:val="0"/>
          <w:sz w:val="22"/>
        </w:rPr>
        <w:t>Each Party represents that no broker is involved except Harborline Commercial Realty, representing Buyer at Seller's expense per Exhibit D.</w:t>
      </w:r>
    </w:p>
    <w:p>
      <w:pPr>
        <w:pStyle w:val="Heading2"/>
      </w:pPr>
      <w:r>
        <w:t>7. Limitation of Liability</w:t>
      </w:r>
    </w:p>
    <w:p>
      <w:r>
        <w:rPr>
          <w:b w:val="0"/>
          <w:sz w:val="22"/>
        </w:rPr>
        <w:t>Notwithstanding anything to the contrary, each Party's aggregate liability arising out of this Agreement shall not exceed the earnest money deposit.</w:t>
      </w:r>
    </w:p>
    <w:p>
      <w:pPr>
        <w:pStyle w:val="Heading2"/>
      </w:pPr>
      <w:r>
        <w:t>8. Governing Law</w:t>
      </w:r>
    </w:p>
    <w:p>
      <w:r>
        <w:rPr>
          <w:b w:val="0"/>
          <w:sz w:val="22"/>
        </w:rPr>
        <w:t>This Agreement is governed by the laws of the State of New Jersey; venue lies in Essex County.</w:t>
      </w:r>
    </w:p>
    <w:p/>
    <w:p>
      <w:r>
        <w:rPr>
          <w:b w:val="0"/>
          <w:sz w:val="22"/>
        </w:rPr>
        <w:t>IN WITNESS WHEREOF, the Parties have executed this Agreement as of the Effective Date.</w:t>
      </w:r>
    </w:p>
    <w:p/>
    <w:p>
      <w:r>
        <w:t>_____________________________</w:t>
      </w:r>
    </w:p>
    <w:p>
      <w:r>
        <w:rPr>
          <w:b/>
          <w:sz w:val="22"/>
        </w:rPr>
        <w:t>Corliss Holdings LP (Seller)</w:t>
      </w:r>
    </w:p>
    <w:p>
      <w:r>
        <w:t>_____________________________</w:t>
      </w:r>
    </w:p>
    <w:p>
      <w:r>
        <w:rPr>
          <w:b/>
          <w:sz w:val="22"/>
        </w:rPr>
        <w:t>Ferrostrand Capital LLC (Buyer)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