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Toll Manufacturing Agreement</w:t>
      </w:r>
    </w:p>
    <w:p>
      <w:r>
        <w:rPr>
          <w:b w:val="0"/>
          <w:sz w:val="22"/>
        </w:rPr>
        <w:t>This Toll Manufacturing Agreement (the "Agreement") is entered into as of March 13, 2026 (the "Effective Date"), between Brightcove Chemicals Corp., a Texas corporation ("Customer"), and Faraday Processing Partners LLC, a Louisiana limited liability company ("Manufacturer"). Manufacturer shall process Customer-supplied raw materials into finished specialty polymers per the attached specifications. The initial term is two (2) years, ending March 12, 2028.</w:t>
      </w:r>
    </w:p>
    <w:p>
      <w:pPr>
        <w:pStyle w:val="Heading2"/>
      </w:pPr>
      <w:r>
        <w:t>1. Processing Services</w:t>
      </w:r>
    </w:p>
    <w:p>
      <w:r>
        <w:rPr>
          <w:b w:val="0"/>
          <w:sz w:val="22"/>
        </w:rPr>
        <w:t>Manufacturer shall convert Customer's raw materials into finished goods conforming to Specification Sheet 7 at the tolling fee per kilogram in Schedule 1, meeting the agreed yield and quality targets.</w:t>
      </w:r>
    </w:p>
    <w:p>
      <w:pPr>
        <w:pStyle w:val="Heading2"/>
      </w:pPr>
      <w:r>
        <w:t>2. Materials and Title</w:t>
      </w:r>
    </w:p>
    <w:p>
      <w:r>
        <w:rPr>
          <w:b w:val="0"/>
          <w:sz w:val="22"/>
        </w:rPr>
        <w:t>Title to raw materials and finished goods remains with Customer at all times; Manufacturer bears the risk of loss only while in its custody.</w:t>
      </w:r>
    </w:p>
    <w:p>
      <w:pPr>
        <w:pStyle w:val="Heading2"/>
      </w:pPr>
      <w:r>
        <w:t>3. License to Process Technology</w:t>
      </w:r>
    </w:p>
    <w:p>
      <w:r>
        <w:rPr>
          <w:b w:val="0"/>
          <w:sz w:val="22"/>
        </w:rPr>
        <w:t>Solely to perform the Services, Customer grants Manufacturer a limited, non-transferable, royalty-free license to use Customer's process parameters for the Term; no other rights are granted.</w:t>
      </w:r>
    </w:p>
    <w:p>
      <w:pPr>
        <w:pStyle w:val="Heading2"/>
      </w:pPr>
      <w:r>
        <w:t>4. Capacity and Renewal</w:t>
      </w:r>
    </w:p>
    <w:p>
      <w:r>
        <w:rPr>
          <w:b w:val="0"/>
          <w:sz w:val="22"/>
        </w:rPr>
        <w:t>Manufacturer shall reserve a minimum monthly capacity of 40,000 kg. This Agreement automatically renews for successive one (1) year renewal terms unless either Party gives notice of non-renewal at least ninety (90) days before the end of the then-current term.</w:t>
      </w:r>
    </w:p>
    <w:p>
      <w:pPr>
        <w:pStyle w:val="Heading2"/>
      </w:pPr>
      <w:r>
        <w:t>5. Assignment</w:t>
      </w:r>
    </w:p>
    <w:p>
      <w:r>
        <w:rPr>
          <w:b w:val="0"/>
          <w:sz w:val="22"/>
        </w:rPr>
        <w:t>Neither Party may assign this Agreement without the other's prior written consent, except to an affiliate or successor of substantially all assets upon notice.</w:t>
      </w:r>
    </w:p>
    <w:p>
      <w:pPr>
        <w:pStyle w:val="Heading2"/>
      </w:pPr>
      <w:r>
        <w:t>6. Termination</w:t>
      </w:r>
    </w:p>
    <w:p>
      <w:r>
        <w:rPr>
          <w:b w:val="0"/>
          <w:sz w:val="22"/>
        </w:rPr>
        <w:t>Either Party may terminate for convenience upon one hundred eighty (180) days' written notice; orders in production at the time of notice shall be completed and paid.</w:t>
      </w:r>
    </w:p>
    <w:p>
      <w:pPr>
        <w:pStyle w:val="Heading2"/>
      </w:pPr>
      <w:r>
        <w:t>7. Records and Audit</w:t>
      </w:r>
    </w:p>
    <w:p>
      <w:r>
        <w:rPr>
          <w:b w:val="0"/>
          <w:sz w:val="22"/>
        </w:rPr>
        <w:t>Manufacturer shall keep batch records, yield data and materials-consumption logs for five (5) years; Customer may audit them twice per contract year on ten (10) business days' notice.</w:t>
      </w:r>
    </w:p>
    <w:p>
      <w:pPr>
        <w:pStyle w:val="Heading2"/>
      </w:pPr>
      <w:r>
        <w:t>8. Insurance</w:t>
      </w:r>
    </w:p>
    <w:p>
      <w:r>
        <w:rPr>
          <w:b w:val="0"/>
          <w:sz w:val="22"/>
        </w:rPr>
        <w:t>Manufacturer shall maintain commercial general liability insurance of $5,000,000 per occurrence, pollution liability insurance of $5,000,000, and property insurance covering Customer's materials in its custody.</w:t>
      </w:r>
    </w:p>
    <w:p>
      <w:pPr>
        <w:pStyle w:val="Heading2"/>
      </w:pPr>
      <w:r>
        <w:t>9. Limitation of Liability</w:t>
      </w:r>
    </w:p>
    <w:p>
      <w:r>
        <w:rPr>
          <w:b w:val="0"/>
          <w:sz w:val="22"/>
        </w:rPr>
        <w:t>Neither Party shall be liable for consequential damages; Manufacturer's aggregate liability for physical damage to Customer materials shall not exceed the replacement cost of the affected batch.</w:t>
      </w:r>
    </w:p>
    <w:p>
      <w:pPr>
        <w:pStyle w:val="Heading2"/>
      </w:pPr>
      <w:r>
        <w:t>10. Governing Law</w:t>
      </w:r>
    </w:p>
    <w:p>
      <w:r>
        <w:rPr>
          <w:b w:val="0"/>
          <w:sz w:val="22"/>
        </w:rPr>
        <w:t>This Agreement is governed by the laws of the State of Texas; venue lies in Harris County.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Brightcove Chemicals Corp. (Customer)</w:t>
      </w:r>
    </w:p>
    <w:p>
      <w:r>
        <w:t>_____________________________</w:t>
      </w:r>
    </w:p>
    <w:p>
      <w:r>
        <w:rPr>
          <w:b/>
          <w:sz w:val="22"/>
        </w:rPr>
        <w:t>Faraday Processing Partners LLC (Manufacturer)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