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Processing Agreement (GDPR Service Annex)</w:t>
      </w:r>
    </w:p>
    <w:p>
      <w:r>
        <w:rPr>
          <w:b w:val="0"/>
          <w:sz w:val="22"/>
        </w:rPr>
        <w:t>This Data Processing Agreement (the "DPA") is annexed to and forms part of the Master Analytics Services Agreement between the Parties dated September 18, 2026 (the "Effective Date"), between Sunniva Analytics ApS, a Danish company ("Processor"), and Halbrook Retail Group plc, a United Kingdom public limited company ("Controller"). The DPA applies for as long as Processor processes Controller Personal Data under the Master Agreement and follows its term; it contains no separate renewal mechanism.</w:t>
      </w:r>
    </w:p>
    <w:p>
      <w:pPr>
        <w:pStyle w:val="Heading2"/>
      </w:pPr>
      <w:r>
        <w:t>1. Roles and Scope</w:t>
      </w:r>
    </w:p>
    <w:p>
      <w:r>
        <w:rPr>
          <w:b w:val="0"/>
          <w:sz w:val="22"/>
        </w:rPr>
        <w:t>Controller acts as data controller and Processor as data processor (Article 28 GDPR) with respect to the customer-behavior analytics data described in Annex I, which includes pseudonymized identifiers and transaction events of Controller's customers in the EEA and UK.</w:t>
      </w:r>
    </w:p>
    <w:p>
      <w:pPr>
        <w:pStyle w:val="Heading2"/>
      </w:pPr>
      <w:r>
        <w:t>2. Documented Instructions</w:t>
      </w:r>
    </w:p>
    <w:p>
      <w:r>
        <w:rPr>
          <w:b w:val="0"/>
          <w:sz w:val="22"/>
        </w:rPr>
        <w:t>Processor shall process Controller Personal Data only on Controller's documented instructions, including transfers to the subprocessors listed in Annex II, unless required by EU or Member State law.</w:t>
      </w:r>
    </w:p>
    <w:p>
      <w:pPr>
        <w:pStyle w:val="Heading2"/>
      </w:pPr>
      <w:r>
        <w:t>3. Confidentiality and Staff</w:t>
      </w:r>
    </w:p>
    <w:p>
      <w:r>
        <w:rPr>
          <w:b w:val="0"/>
          <w:sz w:val="22"/>
        </w:rPr>
        <w:t>Processor shall ensure persons authorized to process the data are bound by confidentiality obligations and receive appropriate data-protection training.</w:t>
      </w:r>
    </w:p>
    <w:p>
      <w:pPr>
        <w:pStyle w:val="Heading2"/>
      </w:pPr>
      <w:r>
        <w:t>4. Security Measures</w:t>
      </w:r>
    </w:p>
    <w:p>
      <w:r>
        <w:rPr>
          <w:b w:val="0"/>
          <w:sz w:val="22"/>
        </w:rPr>
        <w:t>Processor shall implement the technical and organizational measures in Annex III, including encryption in transit and at rest, access controls, and pseudonymization.</w:t>
      </w:r>
    </w:p>
    <w:p>
      <w:pPr>
        <w:pStyle w:val="Heading2"/>
      </w:pPr>
      <w:r>
        <w:t>5. Subprocessors</w:t>
      </w:r>
    </w:p>
    <w:p>
      <w:r>
        <w:rPr>
          <w:b w:val="0"/>
          <w:sz w:val="22"/>
        </w:rPr>
        <w:t>Controller grants general written authorization for the subprocessors in Annex II; Processor shall give thirty (30) days' notice of changes, during which Controller may object on reasonable data-protection grounds.</w:t>
      </w:r>
    </w:p>
    <w:p>
      <w:pPr>
        <w:pStyle w:val="Heading2"/>
      </w:pPr>
      <w:r>
        <w:t>6. Assistance, Audit and Data Subject Rights</w:t>
      </w:r>
    </w:p>
    <w:p>
      <w:r>
        <w:rPr>
          <w:b w:val="0"/>
          <w:sz w:val="22"/>
        </w:rPr>
        <w:t>Processor shall assist Controller with data subject requests and impact assessments, and shall make audit reports available annually; Controller may conduct an on-site audit once per year on thirty (30) days' notice.</w:t>
      </w:r>
    </w:p>
    <w:p>
      <w:pPr>
        <w:pStyle w:val="Heading2"/>
      </w:pPr>
      <w:r>
        <w:t>7. Breach Notification</w:t>
      </w:r>
    </w:p>
    <w:p>
      <w:r>
        <w:rPr>
          <w:b w:val="0"/>
          <w:sz w:val="22"/>
        </w:rPr>
        <w:t>Processor shall notify Controller without undue delay, and in any event within forty-eight (48) hours, after becoming aware of a personal data breach.</w:t>
      </w:r>
    </w:p>
    <w:p>
      <w:pPr>
        <w:pStyle w:val="Heading2"/>
      </w:pPr>
      <w:r>
        <w:t>8. Return and Deletion</w:t>
      </w:r>
    </w:p>
    <w:p>
      <w:r>
        <w:rPr>
          <w:b w:val="0"/>
          <w:sz w:val="22"/>
        </w:rPr>
        <w:t>On Controller's choice, Processor shall return or delete all Controller Personal Data within sixty (60) days after the end of the services.</w:t>
      </w:r>
    </w:p>
    <w:p>
      <w:pPr>
        <w:pStyle w:val="Heading2"/>
      </w:pPr>
      <w:r>
        <w:t>9. Liability</w:t>
      </w:r>
    </w:p>
    <w:p>
      <w:r>
        <w:rPr>
          <w:b w:val="0"/>
          <w:sz w:val="22"/>
        </w:rPr>
        <w:t>The liability cap and exclusions of the Master Agreement apply to this DPA; each Party's aggregate liability under the Master Agreement and this DPA shall not exceed the fees paid in the twenty-four (24) months preceding the claim.</w:t>
      </w:r>
    </w:p>
    <w:p>
      <w:pPr>
        <w:pStyle w:val="Heading2"/>
      </w:pPr>
      <w:r>
        <w:t>10. Governing Law</w:t>
      </w:r>
    </w:p>
    <w:p>
      <w:r>
        <w:rPr>
          <w:b w:val="0"/>
          <w:sz w:val="22"/>
        </w:rPr>
        <w:t>This DPA is governed by the laws of Denmark, without prejudice to mandatory GDPR provisions.</w:t>
      </w:r>
    </w:p>
    <w:p/>
    <w:p>
      <w:r>
        <w:rPr>
          <w:b w:val="0"/>
          <w:sz w:val="22"/>
        </w:rPr>
        <w:t>IN WITNESS WHEREOF, the Parties have executed this Agreement as of the Effective Date.</w:t>
      </w:r>
    </w:p>
    <w:p/>
    <w:p>
      <w:r>
        <w:t>_____________________________</w:t>
      </w:r>
    </w:p>
    <w:p>
      <w:r>
        <w:rPr>
          <w:b/>
          <w:sz w:val="22"/>
        </w:rPr>
        <w:t>Sunniva Analytics ApS (Processor)</w:t>
      </w:r>
    </w:p>
    <w:p>
      <w:r>
        <w:t>_____________________________</w:t>
      </w:r>
    </w:p>
    <w:p>
      <w:r>
        <w:rPr>
          <w:b/>
          <w:sz w:val="22"/>
        </w:rPr>
        <w:t>Halbrook Retail Group plc (Controller)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