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Logistics and Warehousing Services Agreement</w:t>
      </w:r>
    </w:p>
    <w:p>
      <w:r>
        <w:rPr>
          <w:b w:val="0"/>
          <w:sz w:val="22"/>
        </w:rPr>
        <w:t>This Logistics and Warehousing Services Agreement (the "Agreement") is entered into as of January 29, 2026 (the "Effective Date"), between Pallasine HomeGoods SA, a Belgian company ("Shipper"), and Meridian Fulfillment Corp., a New Jersey corporation ("Provider"), for warehousing, pick-pack and last-mile tendering services for Shipper's e-commerce orders in the northeastern United States. The initial term is three (3) years, ending January 28, 2029.</w:t>
      </w:r>
    </w:p>
    <w:p>
      <w:pPr>
        <w:pStyle w:val="Heading2"/>
      </w:pPr>
      <w:r>
        <w:t>1. Services and Service Levels</w:t>
      </w:r>
    </w:p>
    <w:p>
      <w:r>
        <w:rPr>
          <w:b w:val="0"/>
          <w:sz w:val="22"/>
        </w:rPr>
        <w:t>Provider shall receive, store, pick, pack and tender Shipper's products per the Key Performance Indicators in Schedule 1 (99.2% inventory accuracy; same-day dispatch for orders placed before 14:00 ET), measured monthly.</w:t>
      </w:r>
    </w:p>
    <w:p>
      <w:pPr>
        <w:pStyle w:val="Heading2"/>
      </w:pPr>
      <w:r>
        <w:t>2. Storage and Handling</w:t>
      </w:r>
    </w:p>
    <w:p>
      <w:r>
        <w:rPr>
          <w:b w:val="0"/>
          <w:sz w:val="22"/>
        </w:rPr>
        <w:t>Title to goods remains with Shipper. Provider shall maintain the warehouse conditions specified in Schedule 2 and keep goods segregated by SKU with lot-level traceability.</w:t>
      </w:r>
    </w:p>
    <w:p>
      <w:pPr>
        <w:pStyle w:val="Heading2"/>
      </w:pPr>
      <w:r>
        <w:t>3. License to Systems Interface</w:t>
      </w:r>
    </w:p>
    <w:p>
      <w:r>
        <w:rPr>
          <w:b w:val="0"/>
          <w:sz w:val="22"/>
        </w:rPr>
        <w:t>Provider grants Shipper a non-exclusive, non-transferable right during the Term to access Provider's order-management portal and API solely for Shipper's own order data.</w:t>
      </w:r>
    </w:p>
    <w:p>
      <w:pPr>
        <w:pStyle w:val="Heading2"/>
      </w:pPr>
      <w:r>
        <w:t>4. Term and Renewal</w:t>
      </w:r>
    </w:p>
    <w:p>
      <w:r>
        <w:rPr>
          <w:b w:val="0"/>
          <w:sz w:val="22"/>
        </w:rPr>
        <w:t>This Agreement automatically renews for successive one (1) year renewal terms unless either Party gives written notice of non-renewal at least one hundred twenty (120) days before the end of the then-current term.</w:t>
      </w:r>
    </w:p>
    <w:p>
      <w:pPr>
        <w:pStyle w:val="Heading2"/>
      </w:pPr>
      <w:r>
        <w:t>5. Rates and Volume</w:t>
      </w:r>
    </w:p>
    <w:p>
      <w:r>
        <w:rPr>
          <w:b w:val="0"/>
          <w:sz w:val="22"/>
        </w:rPr>
        <w:t>Rates per Schedule 3 hold for the initial term; volumes below 60% of the committed forecast in two consecutive quarters permit Provider to renegotiate storage rates on sixty (60) days' notice.</w:t>
      </w:r>
    </w:p>
    <w:p>
      <w:pPr>
        <w:pStyle w:val="Heading2"/>
      </w:pPr>
      <w:r>
        <w:t>6. Assignment</w:t>
      </w:r>
    </w:p>
    <w:p>
      <w:r>
        <w:rPr>
          <w:b w:val="0"/>
          <w:sz w:val="22"/>
        </w:rPr>
        <w:t>Neither Party may assign this Agreement without the other's prior written consent, except to an affiliate or in connection with a merger or sale of substantially all relevant assets upon notice.</w:t>
      </w:r>
    </w:p>
    <w:p>
      <w:pPr>
        <w:pStyle w:val="Heading2"/>
      </w:pPr>
      <w:r>
        <w:t>7. Termination</w:t>
      </w:r>
    </w:p>
    <w:p>
      <w:r>
        <w:rPr>
          <w:b w:val="0"/>
          <w:sz w:val="22"/>
        </w:rPr>
        <w:t>Either Party may terminate for uncured material breach on thirty (30) days' notice; Provider may terminate for convenience on one hundred eighty (180) days' notice with a wind-down fee equal to one month's average monthly billing; Shipper has no convenience termination right during the initial term but may terminate for consecutive KPI misses per Schedule 1.</w:t>
      </w:r>
    </w:p>
    <w:p>
      <w:pPr>
        <w:pStyle w:val="Heading2"/>
      </w:pPr>
      <w:r>
        <w:t>8. Audit and Inventory Checks</w:t>
      </w:r>
    </w:p>
    <w:p>
      <w:r>
        <w:rPr>
          <w:b w:val="0"/>
          <w:sz w:val="22"/>
        </w:rPr>
        <w:t>Shipper may audit Provider's inventory records, processes and facilities twice per contract year on ten (10) business days' notice.</w:t>
      </w:r>
    </w:p>
    <w:p>
      <w:pPr>
        <w:pStyle w:val="Heading2"/>
      </w:pPr>
      <w:r>
        <w:t>9. Insurance</w:t>
      </w:r>
    </w:p>
    <w:p>
      <w:r>
        <w:rPr>
          <w:b w:val="0"/>
          <w:sz w:val="22"/>
        </w:rPr>
        <w:t>Provider shall maintain warehouseman's legal liability insurance of $10,000,000 in the aggregate, commercial general liability insurance of $2,000,000 per occurrence, and workers' compensation as required by law.</w:t>
      </w:r>
    </w:p>
    <w:p>
      <w:pPr>
        <w:pStyle w:val="Heading2"/>
      </w:pPr>
      <w:r>
        <w:t>10. Limitation of Liability</w:t>
      </w:r>
    </w:p>
    <w:p>
      <w:r>
        <w:rPr>
          <w:b w:val="0"/>
          <w:sz w:val="22"/>
        </w:rPr>
        <w:t>Provider's aggregate liability for loss or damage to goods shall not exceed the lesser of replacement cost or $150 per shipment, except for losses caused by Provider's gross negligence.</w:t>
      </w:r>
    </w:p>
    <w:p>
      <w:pPr>
        <w:pStyle w:val="Heading2"/>
      </w:pPr>
      <w:r>
        <w:t>11. Governing Law</w:t>
      </w:r>
    </w:p>
    <w:p>
      <w:r>
        <w:rPr>
          <w:b w:val="0"/>
          <w:sz w:val="22"/>
        </w:rPr>
        <w:t>This Agreement is governed by the laws of the State of New Jersey; venue lies in Hudson County.</w:t>
      </w:r>
    </w:p>
    <w:p/>
    <w:p>
      <w:r>
        <w:rPr>
          <w:b w:val="0"/>
          <w:sz w:val="22"/>
        </w:rPr>
        <w:t>IN WITNESS WHEREOF, the Parties have executed this Agreement as of the Effective Date.</w:t>
      </w:r>
    </w:p>
    <w:p/>
    <w:p>
      <w:r>
        <w:t>_____________________________</w:t>
      </w:r>
    </w:p>
    <w:p>
      <w:r>
        <w:rPr>
          <w:b/>
          <w:sz w:val="22"/>
        </w:rPr>
        <w:t>Pallasine HomeGoods SA (Shipper)</w:t>
      </w:r>
    </w:p>
    <w:p>
      <w:r>
        <w:t>_____________________________</w:t>
      </w:r>
    </w:p>
    <w:p>
      <w:r>
        <w:rPr>
          <w:b/>
          <w:sz w:val="22"/>
        </w:rPr>
        <w:t>Meridian Fulfillment Corp. (Provider)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