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0D1A1C" w:val="clear"/>
          </w:tcPr>
          <w:p>
            <w:pPr>
              <w:spacing w:before="4596"/>
            </w:pPr>
          </w:p>
          <w:p>
            <w:pPr>
              <w:pBdr>
                <w:bottom w:val="single" w:color="3AB49A" w:sz="6" w:space="8"/>
              </w:pBdr>
              <w:spacing w:after="500"/>
              <w:ind w:left="1200" w:right="800"/>
            </w:pPr>
            <w:r>
              <w:rPr>
                <w:rFonts w:ascii="Segoe UI"/>
                <w:color w:val="3AB49A"/>
                <w:spacing w:val="40"/>
                <w:sz w:val="18"/>
                <w:szCs w:val="18"/>
              </w:rPr>
              <w:t xml:space="preserve">T  E  C  H  N  I  C  A  L     R  E  P  O  R  T</w:t>
            </w:r>
          </w:p>
          <w:p>
            <w:pPr>
              <w:spacing w:after="300" w:line="920" w:lineRule="atLeast"/>
              <w:ind w:left="1200"/>
            </w:pPr>
            <w:r>
              <w:rPr>
                <w:rFonts w:ascii="Georgia"/>
                <w:b/>
                <w:bCs/>
                <w:color w:val="F0EFE9"/>
                <w:sz w:val="80"/>
                <w:szCs w:val="80"/>
              </w:rPr>
              <w:t xml:space="preserve">ContractIQ</w:t>
            </w:r>
          </w:p>
          <w:p>
            <w:pPr>
              <w:spacing w:after="800"/>
              <w:ind w:left="1200"/>
            </w:pPr>
            <w:r>
              <w:rPr>
                <w:rFonts w:ascii="Segoe UI"/>
                <w:color w:val="CDE3DE"/>
                <w:sz w:val="26"/>
                <w:szCs w:val="26"/>
              </w:rPr>
              <w:t xml:space="preserve">AI Contract Intelligence &amp; Risk Analysis - Technical Report</w:t>
            </w:r>
          </w:p>
          <w:p>
            <w:pPr>
              <w:pBdr>
                <w:left w:val="single" w:color="3AB49A" w:sz="8" w:space="12"/>
              </w:pBdr>
              <w:spacing w:after="80"/>
              <w:ind w:left="1400"/>
            </w:pPr>
            <w:r>
              <w:rPr>
                <w:rFonts w:ascii="Segoe UI"/>
                <w:color w:val="BFD6D1"/>
                <w:sz w:val="22"/>
                <w:szCs w:val="22"/>
              </w:rPr>
              <w:t xml:space="preserve">Version 1.0  -  API 0.5.0  -  Frontend 0.6.0</w:t>
            </w:r>
          </w:p>
          <w:p>
            <w:pPr>
              <w:pBdr>
                <w:left w:val="single" w:color="3AB49A" w:sz="8" w:space="12"/>
              </w:pBdr>
              <w:spacing w:after="80"/>
              <w:ind w:left="1400"/>
            </w:pPr>
            <w:r>
              <w:rPr>
                <w:rFonts w:ascii="Segoe UI"/>
                <w:color w:val="BFD6D1"/>
                <w:sz w:val="22"/>
                <w:szCs w:val="22"/>
              </w:rPr>
              <w:t xml:space="preserve">Model: phase3-finetuned-minilm-squad2-1epoch (CUAD v1)</w:t>
            </w:r>
          </w:p>
          <w:p>
            <w:pPr>
              <w:pBdr>
                <w:left w:val="single" w:color="3AB49A" w:sz="8" w:space="12"/>
              </w:pBdr>
              <w:spacing w:after="80"/>
              <w:ind w:left="1400"/>
            </w:pPr>
            <w:r>
              <w:rPr>
                <w:rFonts w:ascii="Segoe UI"/>
                <w:color w:val="BFD6D1"/>
                <w:sz w:val="22"/>
                <w:szCs w:val="22"/>
              </w:rPr>
              <w:t xml:space="preserve">Stack: FastAPI  -  React  -  PyTorch  -  SQLite</w:t>
            </w:r>
          </w:p>
          <w:p>
            <w:pPr>
              <w:pBdr>
                <w:left w:val="single" w:color="3AB49A" w:sz="8" w:space="12"/>
              </w:pBdr>
              <w:spacing w:after="80"/>
              <w:ind w:left="1400"/>
            </w:pPr>
            <w:r>
              <w:rPr>
                <w:rFonts w:ascii="Segoe UI"/>
                <w:color w:val="BFD6D1"/>
                <w:sz w:val="22"/>
                <w:szCs w:val="22"/>
              </w:rPr>
              <w:t xml:space="preserve">September 2026</w:t>
            </w:r>
          </w:p>
          <w:p>
            <w:pPr>
              <w:spacing w:before="4596"/>
            </w:pPr>
          </w:p>
          <w:p>
            <w:pPr>
              <w:pBdr>
                <w:top w:val="single" w:color="3AB49A" w:sz="2" w:space="8"/>
              </w:pBdr>
              <w:spacing w:before="200"/>
              <w:ind w:left="1200" w:right="800"/>
            </w:pPr>
            <w:r>
              <w:rPr>
                <w:rFonts w:ascii="Segoe UI"/>
                <w:color w:val="7FA39D"/>
                <w:sz w:val="16"/>
                <w:szCs w:val="16"/>
              </w:rPr>
              <w:t xml:space="preserve">Local-first contract analysis</w:t>
            </w:r>
            <w:r>
              <w:t xml:space="preserve">                                                            </w:t>
            </w:r>
            <w:r>
              <w:rPr>
                <w:rFonts w:ascii="Segoe UI"/>
                <w:color w:val="7FA39D"/>
                <w:sz w:val="16"/>
                <w:szCs w:val="16"/>
              </w:rPr>
              <w:t xml:space="preserve">Not legal advice</w:t>
            </w:r>
          </w:p>
        </w:tc>
      </w:tr>
    </w:tbl>
    <w:p>
      <w:pPr>
        <w:sectPr>
          <w:pgSz w:w="11906" w:h="16838" w:orient="portrait"/>
          <w:pgMar w:top="0" w:right="0" w:bottom="0" w:left="0" w:header="708" w:footer="708" w:gutter="0"/>
          <w:docGrid w:linePitch="360"/>
        </w:sectPr>
      </w:pPr>
    </w:p>
    <w:p>
      <w:pPr>
        <w:spacing w:after="200" w:before="300"/>
      </w:pPr>
      <w:r>
        <w:rPr>
          <w:rFonts w:ascii="Segoe UI"/>
          <w:b/>
          <w:bCs/>
          <w:color w:val="0E4F47"/>
          <w:sz w:val="32"/>
          <w:szCs w:val="32"/>
        </w:rPr>
        <w:t xml:space="preserve">Abstract</w:t>
      </w:r>
    </w:p>
    <w:p>
      <w:pPr>
        <w:spacing w:after="120" w:line="312"/>
        <w:jc w:val="both"/>
      </w:pPr>
      <w:r>
        <w:rPr>
          <w:rFonts w:ascii="Georgia"/>
          <w:color w:val="1F2A29"/>
          <w:sz w:val="22"/>
          <w:szCs w:val="22"/>
        </w:rPr>
        <w:t xml:space="preserve">ContractIQ is a local-first desktop web application that uses machine learning to review commercial contracts. A user uploads a PDF, DOCX or TXT file; the system parses it, extracts fifteen high-value clause types with a question-answering transformer fine-tuned on the CUAD v1 legal-contract dataset, links every finding to its exact character offsets in the source text, and computes a transparent, rule-based risk score on a 0-100 scale. The application is built as a React 19 single-page frontend over a FastAPI backend with SQLite persistence; the model runs locally on CUDA or CPU with no cloud calls and no external API keys.</w:t>
      </w:r>
    </w:p>
    <w:p>
      <w:pPr>
        <w:spacing w:after="120" w:line="312"/>
        <w:jc w:val="both"/>
      </w:pPr>
      <w:r>
        <w:rPr>
          <w:rFonts w:ascii="Georgia"/>
          <w:color w:val="1F2A29"/>
          <w:sz w:val="22"/>
          <w:szCs w:val="22"/>
        </w:rPr>
        <w:t xml:space="preserve">On the official CUAD test set (102 contracts, evaluated once with frozen thresholds) the system achieves 60.8% exact match and 66.2% token F1 overall, with 74.4% accuracy on no-answer decisions, and a retrieval stage that places 95.2% of gold answers inside the model's search window. Quality is enforced by 199 automated tests, a verified evidence-offset invariant (0 mismatches across 129 checks), a 22-step end-to-end browser test with the real model, and a security review covering upload validation, path traversal and log privacy. This report documents the requirements, architecture, machine-learning pipeline, risk methodology, API design, verification programme, measured performance, and known limitations of the system.</w:t>
      </w:r>
    </w:p>
    <w:p>
      <w:pPr>
        <w:spacing w:after="120" w:line="312"/>
        <w:jc w:val="both"/>
      </w:pPr>
      <w:r>
        <w:rPr>
          <w:rFonts w:ascii="Georgia"/>
          <w:b/>
          <w:bCs/>
          <w:i/>
          <w:iCs/>
          <w:color w:val="1F2A29"/>
          <w:sz w:val="22"/>
          <w:szCs w:val="22"/>
        </w:rPr>
        <w:t xml:space="preserve">Disclaimer: </w:t>
      </w:r>
      <w:r>
        <w:rPr>
          <w:rFonts w:ascii="Georgia"/>
          <w:i/>
          <w:iCs/>
          <w:color w:val="1F2A29"/>
          <w:sz w:val="22"/>
          <w:szCs w:val="22"/>
        </w:rPr>
        <w:t xml:space="preserve">ContractIQ provides AI-assisted contract analysis and is not a substitute for professional legal advice. Results should be reviewed by a qualified professional.</w:t>
      </w:r>
      <w:r>
        <w:br w:type="page"/>
      </w:r>
    </w:p>
    <w:p>
      <w:pPr>
        <w:spacing w:after="360" w:before="480"/>
        <w:jc w:val="center"/>
      </w:pPr>
      <w:r>
        <w:rPr>
          <w:rFonts w:ascii="Segoe UI"/>
          <w:b/>
          <w:bCs/>
          <w:color w:val="0E4F47"/>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Motivation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Problem Statement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Objectives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Scope</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2. System Overview</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2.1 Feature Summary</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2.2 Design Principles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2.3 Technology Stack</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3. System Architecture</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3.1 Components</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3.2 Request Lifecycle</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3.3 Error Handling and Resilience</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3.4 Data Model</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4. Machine Learning Pipeline</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4.1 Dataset</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4.2 Task Formulation</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4.3 Base Model Selection</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4.4 Preprocessing and Windowing</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4.5 Retrieval Optimization</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4.6 Fine-Tuning</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4.7 Evaluation Protocol and Results</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4.8 Inference Design</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4.9 Quantization Decision</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4.10 Question Templates and Span Decoding</w:t>
            </w:r>
            <w:r>
              <w:tab/>
            </w:r>
            <w:r>
              <w:fldChar w:fldCharType="begin"/>
            </w:r>
            <w:r>
              <w:instrText xml:space="preserve"> PAGEREF _Toc100024 \h </w:instrText>
            </w:r>
            <w:r>
              <w:fldChar w:fldCharType="separate"/>
            </w:r>
            <w:r>
              <w:t>9</w:t>
            </w:r>
            <w:r>
              <w:fldChar w:fldCharType="end"/>
            </w:r>
          </w:hyperlink>
        </w:p>
        <w:p>
          <w:pPr>
            <w:pStyle w:val="9"/>
            <w:tabs>
              <w:tab w:val="right" w:leader="dot" w:pos="9026"/>
            </w:tabs>
            <w:spacing w:before="120" w:after="60"/>
          </w:pPr>
          <w:hyperlink w:anchor="_Toc100025" w:history="1">
            <w:r>
              <w:rPr>
                <w:rStyle w:val="Hyperlink"/>
              </w:rPr>
              <w:t>5. Risk Engine</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5.1 Philosophy</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5.2 Rule Catalog</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5.3 Confidence Gate</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5.4 Worked Example</w:t>
            </w:r>
            <w:r>
              <w:tab/>
            </w:r>
            <w:r>
              <w:fldChar w:fldCharType="begin"/>
            </w:r>
            <w:r>
              <w:instrText xml:space="preserve"> PAGEREF _Toc100029 \h </w:instrText>
            </w:r>
            <w:r>
              <w:fldChar w:fldCharType="separate"/>
            </w:r>
            <w:r>
              <w:t>10</w:t>
            </w:r>
            <w:r>
              <w:fldChar w:fldCharType="end"/>
            </w:r>
          </w:hyperlink>
        </w:p>
        <w:p>
          <w:pPr>
            <w:pStyle w:val="9"/>
            <w:tabs>
              <w:tab w:val="right" w:leader="dot" w:pos="9026"/>
            </w:tabs>
            <w:spacing w:before="120" w:after="60"/>
          </w:pPr>
          <w:hyperlink w:anchor="_Toc100030" w:history="1">
            <w:r>
              <w:rPr>
                <w:rStyle w:val="Hyperlink"/>
              </w:rPr>
              <w:t>6. Backend API</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6.1 Endpoint Reference</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6.2 Schemas and Error Envelope</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6.3 Security Measures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6.4 Example Requests and Responses</w:t>
            </w:r>
            <w:r>
              <w:tab/>
            </w:r>
            <w:r>
              <w:fldChar w:fldCharType="begin"/>
            </w:r>
            <w:r>
              <w:instrText xml:space="preserve"> PAGEREF _Toc100034 \h </w:instrText>
            </w:r>
            <w:r>
              <w:fldChar w:fldCharType="separate"/>
            </w:r>
            <w:r>
              <w:t>11</w:t>
            </w:r>
            <w:r>
              <w:fldChar w:fldCharType="end"/>
            </w:r>
          </w:hyperlink>
        </w:p>
        <w:p>
          <w:pPr>
            <w:pStyle w:val="9"/>
            <w:tabs>
              <w:tab w:val="right" w:leader="dot" w:pos="9026"/>
            </w:tabs>
            <w:spacing w:before="120" w:after="60"/>
          </w:pPr>
          <w:hyperlink w:anchor="_Toc100035" w:history="1">
            <w:r>
              <w:rPr>
                <w:rStyle w:val="Hyperlink"/>
              </w:rPr>
              <w:t>7. Frontend</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7.1 Pages</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7.2 Design System and Signature Components</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7.3 State, Data Fetching and Offline Tolerance</w:t>
            </w:r>
            <w:r>
              <w:tab/>
            </w:r>
            <w:r>
              <w:fldChar w:fldCharType="begin"/>
            </w:r>
            <w:r>
              <w:instrText xml:space="preserve"> PAGEREF _Toc100038 \h </w:instrText>
            </w:r>
            <w:r>
              <w:fldChar w:fldCharType="separate"/>
            </w:r>
            <w:r>
              <w:t>14</w:t>
            </w:r>
            <w:r>
              <w:fldChar w:fldCharType="end"/>
            </w:r>
          </w:hyperlink>
        </w:p>
        <w:p>
          <w:pPr>
            <w:pStyle w:val="9"/>
            <w:tabs>
              <w:tab w:val="right" w:leader="dot" w:pos="9026"/>
            </w:tabs>
            <w:spacing w:before="120" w:after="60"/>
          </w:pPr>
          <w:hyperlink w:anchor="_Toc100039" w:history="1">
            <w:r>
              <w:rPr>
                <w:rStyle w:val="Hyperlink"/>
              </w:rPr>
              <w:t>8. Deployment and Operations</w:t>
            </w:r>
            <w:r>
              <w:tab/>
            </w:r>
            <w:r>
              <w:fldChar w:fldCharType="begin"/>
            </w:r>
            <w:r>
              <w:instrText xml:space="preserve"> PAGEREF _Toc100039 \h </w:instrText>
            </w:r>
            <w:r>
              <w:fldChar w:fldCharType="separate"/>
            </w:r>
            <w:r>
              <w:t>15</w:t>
            </w:r>
            <w:r>
              <w:fldChar w:fldCharType="end"/>
            </w:r>
          </w:hyperlink>
        </w:p>
        <w:p>
          <w:pPr>
            <w:pStyle w:val="11"/>
            <w:ind w:left="360"/>
            <w:tabs>
              <w:tab w:val="right" w:leader="dot" w:pos="9026"/>
            </w:tabs>
            <w:spacing w:before="120" w:after="60"/>
          </w:pPr>
          <w:hyperlink w:anchor="_Toc100040" w:history="1">
            <w:r>
              <w:rPr>
                <w:rStyle w:val="Hyperlink"/>
              </w:rPr>
              <w:t>8.1 Production Single-Port Serving</w:t>
            </w:r>
            <w:r>
              <w:tab/>
            </w:r>
            <w:r>
              <w:fldChar w:fldCharType="begin"/>
            </w:r>
            <w:r>
              <w:instrText xml:space="preserve"> PAGEREF _Toc100040 \h </w:instrText>
            </w:r>
            <w:r>
              <w:fldChar w:fldCharType="separate"/>
            </w:r>
            <w:r>
              <w:t>15</w:t>
            </w:r>
            <w:r>
              <w:fldChar w:fldCharType="end"/>
            </w:r>
          </w:hyperlink>
        </w:p>
        <w:p>
          <w:pPr>
            <w:pStyle w:val="11"/>
            <w:ind w:left="360"/>
            <w:tabs>
              <w:tab w:val="right" w:leader="dot" w:pos="9026"/>
            </w:tabs>
            <w:spacing w:before="120" w:after="60"/>
          </w:pPr>
          <w:hyperlink w:anchor="_Toc100041" w:history="1">
            <w:r>
              <w:rPr>
                <w:rStyle w:val="Hyperlink"/>
              </w:rPr>
              <w:t>8.2 Launch Modes</w:t>
            </w:r>
            <w:r>
              <w:tab/>
            </w:r>
            <w:r>
              <w:fldChar w:fldCharType="begin"/>
            </w:r>
            <w:r>
              <w:instrText xml:space="preserve"> PAGEREF _Toc100041 \h </w:instrText>
            </w:r>
            <w:r>
              <w:fldChar w:fldCharType="separate"/>
            </w:r>
            <w:r>
              <w:t>15</w:t>
            </w:r>
            <w:r>
              <w:fldChar w:fldCharType="end"/>
            </w:r>
          </w:hyperlink>
        </w:p>
        <w:p>
          <w:pPr>
            <w:pStyle w:val="11"/>
            <w:ind w:left="360"/>
            <w:tabs>
              <w:tab w:val="right" w:leader="dot" w:pos="9026"/>
            </w:tabs>
            <w:spacing w:before="120" w:after="60"/>
          </w:pPr>
          <w:hyperlink w:anchor="_Toc100042" w:history="1">
            <w:r>
              <w:rPr>
                <w:rStyle w:val="Hyperlink"/>
              </w:rPr>
              <w:t>8.3 Operations Notes</w:t>
            </w:r>
            <w:r>
              <w:tab/>
            </w:r>
            <w:r>
              <w:fldChar w:fldCharType="begin"/>
            </w:r>
            <w:r>
              <w:instrText xml:space="preserve"> PAGEREF _Toc100042 \h </w:instrText>
            </w:r>
            <w:r>
              <w:fldChar w:fldCharType="separate"/>
            </w:r>
            <w:r>
              <w:t>15</w:t>
            </w:r>
            <w:r>
              <w:fldChar w:fldCharType="end"/>
            </w:r>
          </w:hyperlink>
        </w:p>
        <w:p>
          <w:pPr>
            <w:pStyle w:val="9"/>
            <w:tabs>
              <w:tab w:val="right" w:leader="dot" w:pos="9026"/>
            </w:tabs>
            <w:spacing w:before="120" w:after="60"/>
          </w:pPr>
          <w:hyperlink w:anchor="_Toc100043" w:history="1">
            <w:r>
              <w:rPr>
                <w:rStyle w:val="Hyperlink"/>
              </w:rPr>
              <w:t>9. Quality Assurance</w:t>
            </w:r>
            <w:r>
              <w:tab/>
            </w:r>
            <w:r>
              <w:fldChar w:fldCharType="begin"/>
            </w:r>
            <w:r>
              <w:instrText xml:space="preserve"> PAGEREF _Toc100043 \h </w:instrText>
            </w:r>
            <w:r>
              <w:fldChar w:fldCharType="separate"/>
            </w:r>
            <w:r>
              <w:t>16</w:t>
            </w:r>
            <w:r>
              <w:fldChar w:fldCharType="end"/>
            </w:r>
          </w:hyperlink>
        </w:p>
        <w:p>
          <w:pPr>
            <w:pStyle w:val="11"/>
            <w:ind w:left="360"/>
            <w:tabs>
              <w:tab w:val="right" w:leader="dot" w:pos="9026"/>
            </w:tabs>
            <w:spacing w:before="120" w:after="60"/>
          </w:pPr>
          <w:hyperlink w:anchor="_Toc100044" w:history="1">
            <w:r>
              <w:rPr>
                <w:rStyle w:val="Hyperlink"/>
              </w:rPr>
              <w:t>9.1 Test Inventory</w:t>
            </w:r>
            <w:r>
              <w:tab/>
            </w:r>
            <w:r>
              <w:fldChar w:fldCharType="begin"/>
            </w:r>
            <w:r>
              <w:instrText xml:space="preserve"> PAGEREF _Toc100044 \h </w:instrText>
            </w:r>
            <w:r>
              <w:fldChar w:fldCharType="separate"/>
            </w:r>
            <w:r>
              <w:t>16</w:t>
            </w:r>
            <w:r>
              <w:fldChar w:fldCharType="end"/>
            </w:r>
          </w:hyperlink>
        </w:p>
        <w:p>
          <w:pPr>
            <w:pStyle w:val="11"/>
            <w:ind w:left="360"/>
            <w:tabs>
              <w:tab w:val="right" w:leader="dot" w:pos="9026"/>
            </w:tabs>
            <w:spacing w:before="120" w:after="60"/>
          </w:pPr>
          <w:hyperlink w:anchor="_Toc100045" w:history="1">
            <w:r>
              <w:rPr>
                <w:rStyle w:val="Hyperlink"/>
              </w:rPr>
              <w:t>9.2 Evidence Invariant</w:t>
            </w:r>
            <w:r>
              <w:tab/>
            </w:r>
            <w:r>
              <w:fldChar w:fldCharType="begin"/>
            </w:r>
            <w:r>
              <w:instrText xml:space="preserve"> PAGEREF _Toc100045 \h </w:instrText>
            </w:r>
            <w:r>
              <w:fldChar w:fldCharType="separate"/>
            </w:r>
            <w:r>
              <w:t>16</w:t>
            </w:r>
            <w:r>
              <w:fldChar w:fldCharType="end"/>
            </w:r>
          </w:hyperlink>
        </w:p>
        <w:p>
          <w:pPr>
            <w:pStyle w:val="11"/>
            <w:ind w:left="360"/>
            <w:tabs>
              <w:tab w:val="right" w:leader="dot" w:pos="9026"/>
            </w:tabs>
            <w:spacing w:before="120" w:after="60"/>
          </w:pPr>
          <w:hyperlink w:anchor="_Toc100046" w:history="1">
            <w:r>
              <w:rPr>
                <w:rStyle w:val="Hyperlink"/>
              </w:rPr>
              <w:t>9.3 Defects Found and Fixed in Final QA</w:t>
            </w:r>
            <w:r>
              <w:tab/>
            </w:r>
            <w:r>
              <w:fldChar w:fldCharType="begin"/>
            </w:r>
            <w:r>
              <w:instrText xml:space="preserve"> PAGEREF _Toc100046 \h </w:instrText>
            </w:r>
            <w:r>
              <w:fldChar w:fldCharType="separate"/>
            </w:r>
            <w:r>
              <w:t>17</w:t>
            </w:r>
            <w:r>
              <w:fldChar w:fldCharType="end"/>
            </w:r>
          </w:hyperlink>
        </w:p>
        <w:p>
          <w:pPr>
            <w:pStyle w:val="9"/>
            <w:tabs>
              <w:tab w:val="right" w:leader="dot" w:pos="9026"/>
            </w:tabs>
            <w:spacing w:before="120" w:after="60"/>
          </w:pPr>
          <w:hyperlink w:anchor="_Toc100047" w:history="1">
            <w:r>
              <w:rPr>
                <w:rStyle w:val="Hyperlink"/>
              </w:rPr>
              <w:t>10. Performance</w:t>
            </w:r>
            <w:r>
              <w:tab/>
            </w:r>
            <w:r>
              <w:fldChar w:fldCharType="begin"/>
            </w:r>
            <w:r>
              <w:instrText xml:space="preserve"> PAGEREF _Toc100047 \h </w:instrText>
            </w:r>
            <w:r>
              <w:fldChar w:fldCharType="separate"/>
            </w:r>
            <w:r>
              <w:t>17</w:t>
            </w:r>
            <w:r>
              <w:fldChar w:fldCharType="end"/>
            </w:r>
          </w:hyperlink>
        </w:p>
        <w:p>
          <w:pPr>
            <w:pStyle w:val="9"/>
            <w:tabs>
              <w:tab w:val="right" w:leader="dot" w:pos="9026"/>
            </w:tabs>
            <w:spacing w:before="120" w:after="60"/>
          </w:pPr>
          <w:hyperlink w:anchor="_Toc100048" w:history="1">
            <w:r>
              <w:rPr>
                <w:rStyle w:val="Hyperlink"/>
              </w:rPr>
              <w:t>11. Limitations</w:t>
            </w:r>
            <w:r>
              <w:tab/>
            </w:r>
            <w:r>
              <w:fldChar w:fldCharType="begin"/>
            </w:r>
            <w:r>
              <w:instrText xml:space="preserve"> PAGEREF _Toc100048 \h </w:instrText>
            </w:r>
            <w:r>
              <w:fldChar w:fldCharType="separate"/>
            </w:r>
            <w:r>
              <w:t>17</w:t>
            </w:r>
            <w:r>
              <w:fldChar w:fldCharType="end"/>
            </w:r>
          </w:hyperlink>
        </w:p>
        <w:p>
          <w:pPr>
            <w:pStyle w:val="9"/>
            <w:tabs>
              <w:tab w:val="right" w:leader="dot" w:pos="9026"/>
            </w:tabs>
            <w:spacing w:before="120" w:after="60"/>
          </w:pPr>
          <w:hyperlink w:anchor="_Toc100049" w:history="1">
            <w:r>
              <w:rPr>
                <w:rStyle w:val="Hyperlink"/>
              </w:rPr>
              <w:t>12. Future Work</w:t>
            </w:r>
            <w:r>
              <w:tab/>
            </w:r>
            <w:r>
              <w:fldChar w:fldCharType="begin"/>
            </w:r>
            <w:r>
              <w:instrText xml:space="preserve"> PAGEREF _Toc100049 \h </w:instrText>
            </w:r>
            <w:r>
              <w:fldChar w:fldCharType="separate"/>
            </w:r>
            <w:r>
              <w:t>18</w:t>
            </w:r>
            <w:r>
              <w:fldChar w:fldCharType="end"/>
            </w:r>
          </w:hyperlink>
        </w:p>
        <w:p>
          <w:pPr>
            <w:pStyle w:val="9"/>
            <w:tabs>
              <w:tab w:val="right" w:leader="dot" w:pos="9026"/>
            </w:tabs>
            <w:spacing w:before="120" w:after="60"/>
          </w:pPr>
          <w:hyperlink w:anchor="_Toc100050" w:history="1">
            <w:r>
              <w:rPr>
                <w:rStyle w:val="Hyperlink"/>
              </w:rPr>
              <w:t>13. Conclusion</w:t>
            </w:r>
            <w:r>
              <w:tab/>
            </w:r>
            <w:r>
              <w:fldChar w:fldCharType="begin"/>
            </w:r>
            <w:r>
              <w:instrText xml:space="preserve"> PAGEREF _Toc100050 \h </w:instrText>
            </w:r>
            <w:r>
              <w:fldChar w:fldCharType="separate"/>
            </w:r>
            <w:r>
              <w:t>19</w:t>
            </w:r>
            <w:r>
              <w:fldChar w:fldCharType="end"/>
            </w:r>
          </w:hyperlink>
        </w:p>
        <w:p>
          <w:pPr>
            <w:pStyle w:val="9"/>
            <w:tabs>
              <w:tab w:val="right" w:leader="dot" w:pos="9026"/>
            </w:tabs>
            <w:spacing w:before="120" w:after="60"/>
          </w:pPr>
          <w:hyperlink w:anchor="_Toc100051" w:history="1">
            <w:r>
              <w:rPr>
                <w:rStyle w:val="Hyperlink"/>
              </w:rPr>
              <w:t>References</w:t>
            </w:r>
            <w:r>
              <w:tab/>
            </w:r>
            <w:r>
              <w:fldChar w:fldCharType="begin"/>
            </w:r>
            <w:r>
              <w:instrText xml:space="preserve"> PAGEREF _Toc100051 \h </w:instrText>
            </w:r>
            <w:r>
              <w:fldChar w:fldCharType="separate"/>
            </w:r>
            <w:r>
              <w:t>19</w:t>
            </w:r>
            <w:r>
              <w:fldChar w:fldCharType="end"/>
            </w:r>
          </w:hyperlink>
        </w:p>
        <w:p>
          <w:pPr>
            <w:pStyle w:val="9"/>
            <w:tabs>
              <w:tab w:val="right" w:leader="dot" w:pos="9026"/>
            </w:tabs>
            <w:spacing w:before="120" w:after="60"/>
          </w:pPr>
          <w:hyperlink w:anchor="_Toc100052" w:history="1">
            <w:r>
              <w:rPr>
                <w:rStyle w:val="Hyperlink"/>
              </w:rPr>
              <w:t>Appendix A. Environment and Reproduction</w:t>
            </w:r>
            <w:r>
              <w:tab/>
            </w:r>
            <w:r>
              <w:fldChar w:fldCharType="begin"/>
            </w:r>
            <w:r>
              <w:instrText xml:space="preserve"> PAGEREF _Toc100052 \h </w:instrText>
            </w:r>
            <w:r>
              <w:fldChar w:fldCharType="separate"/>
            </w:r>
            <w:r>
              <w:t>20</w:t>
            </w:r>
            <w:r>
              <w:fldChar w:fldCharType="end"/>
            </w:r>
          </w:hyperlink>
        </w:p>
        <w:p>
          <w:pPr>
            <w:pStyle w:val="9"/>
            <w:tabs>
              <w:tab w:val="right" w:leader="dot" w:pos="9026"/>
            </w:tabs>
            <w:spacing w:before="120" w:after="60"/>
          </w:pPr>
          <w:hyperlink w:anchor="_Toc100053" w:history="1">
            <w:r>
              <w:rPr>
                <w:rStyle w:val="Hyperlink"/>
              </w:rPr>
              <w:t>Appendix B. Third-Party Notices</w:t>
            </w:r>
            <w:r>
              <w:tab/>
            </w:r>
            <w:r>
              <w:fldChar w:fldCharType="begin"/>
            </w:r>
            <w:r>
              <w:instrText xml:space="preserve"> PAGEREF _Toc100053 \h </w:instrText>
            </w:r>
            <w:r>
              <w:fldChar w:fldCharType="separate"/>
            </w:r>
            <w:r>
              <w:t>22</w:t>
            </w:r>
            <w:r>
              <w:fldChar w:fldCharType="end"/>
            </w:r>
          </w:hyperlink>
        </w:p>
        <w:p>
          <w:pPr>
            <w:pStyle w:val="9"/>
            <w:tabs>
              <w:tab w:val="right" w:leader="dot" w:pos="9026"/>
            </w:tabs>
            <w:spacing w:before="120" w:after="60"/>
          </w:pPr>
          <w:hyperlink w:anchor="_Toc100054" w:history="1">
            <w:r>
              <w:rPr>
                <w:rStyle w:val="Hyperlink"/>
              </w:rPr>
              <w:t>Appendix C. Demo Contract Catalog</w:t>
            </w:r>
            <w:r>
              <w:tab/>
            </w:r>
            <w:r>
              <w:fldChar w:fldCharType="begin"/>
            </w:r>
            <w:r>
              <w:instrText xml:space="preserve"> PAGEREF _Toc100054 \h </w:instrText>
            </w:r>
            <w:r>
              <w:fldChar w:fldCharType="separate"/>
            </w:r>
            <w:r>
              <w:t>22</w:t>
            </w:r>
            <w:r>
              <w:fldChar w:fldCharType="end"/>
            </w:r>
          </w:hyperlink>
        </w:p>
        <w:p>
          <w:r>
            <w:fldChar w:fldCharType="end"/>
          </w:r>
        </w:p>
      </w:sdtContent>
    </w:sdt>
    <w:p>
      <w:pPr>
        <w:spacing w:before="200"/>
      </w:pPr>
      <w:r>
        <w:rPr>
          <w:rFonts w:ascii="Segoe UI"/>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docGrid w:linePitch="360"/>
        </w:sectPr>
      </w:pPr>
    </w:p>
    <w:p>
      <w:pPr>
        <w:pStyle w:val="Heading1"/>
        <w:spacing w:after="200" w:before="360" w:line="380" w:lineRule="atLeast"/>
      </w:pPr>
      <w:bookmarkStart w:id="100000" w:name="_Toc100000"/>
      <w:r>
        <w:rPr>
          <w:rFonts w:ascii="Segoe UI"/>
          <w:b/>
          <w:bCs/>
          <w:color w:val="0E4F47"/>
          <w:sz w:val="34"/>
          <w:szCs w:val="34"/>
        </w:rPr>
        <w:t xml:space="preserve">1. Introduction</w:t>
      </w:r>
      <w:bookmarkEnd w:id="100000"/>
    </w:p>
    <w:p>
      <w:pPr>
        <w:pStyle w:val="Heading2"/>
        <w:keepNext/>
        <w:spacing w:after="140" w:before="280" w:line="320" w:lineRule="atLeast"/>
      </w:pPr>
      <w:bookmarkStart w:id="100001" w:name="_Toc100001"/>
      <w:r>
        <w:rPr>
          <w:rFonts w:ascii="Segoe UI"/>
          <w:b/>
          <w:bCs/>
          <w:color w:val="0E4F47"/>
          <w:sz w:val="26"/>
          <w:szCs w:val="26"/>
        </w:rPr>
        <w:t xml:space="preserve">1.1 Motivation</w:t>
      </w:r>
      <w:bookmarkEnd w:id="100001"/>
    </w:p>
    <w:p>
      <w:pPr>
        <w:spacing w:after="120" w:line="312"/>
        <w:jc w:val="both"/>
      </w:pPr>
      <w:r>
        <w:rPr>
          <w:rFonts w:ascii="Georgia"/>
          <w:color w:val="1F2A29"/>
          <w:sz w:val="22"/>
          <w:szCs w:val="22"/>
        </w:rPr>
        <w:t xml:space="preserve">Commercial contracts concentrate their most consequential terms - renewal mechanics, exclusivity, non-compete restrictions, liability caps, termination rights - inside long, repetitive documents. The CUAD v1 study reports a median contract length of roughly 6,700 tokens, with documents reaching 78,600 tokens, spread across 41 clause categories that legal teams must track. Manual review is therefore slow, expensive and error-prone, while cloud-based contract analysis tools raise a confidentiality problem: contracts are among the most sensitive documents an organisation holds, and sending them to third-party services is often unacceptable.</w:t>
      </w:r>
    </w:p>
    <w:p>
      <w:pPr>
        <w:pStyle w:val="Heading2"/>
        <w:keepNext/>
        <w:spacing w:after="140" w:before="280" w:line="320" w:lineRule="atLeast"/>
      </w:pPr>
      <w:bookmarkStart w:id="100002" w:name="_Toc100002"/>
      <w:r>
        <w:rPr>
          <w:rFonts w:ascii="Segoe UI"/>
          <w:b/>
          <w:bCs/>
          <w:color w:val="0E4F47"/>
          <w:sz w:val="26"/>
          <w:szCs w:val="26"/>
        </w:rPr>
        <w:t xml:space="preserve">1.2 Problem Statement</w:t>
      </w:r>
      <w:bookmarkEnd w:id="100002"/>
    </w:p>
    <w:p>
      <w:pPr>
        <w:spacing w:after="120" w:line="312"/>
        <w:jc w:val="both"/>
      </w:pPr>
      <w:r>
        <w:rPr>
          <w:rFonts w:ascii="Georgia"/>
          <w:color w:val="1F2A29"/>
          <w:sz w:val="22"/>
          <w:szCs w:val="22"/>
        </w:rPr>
        <w:t xml:space="preserve">Design and implement a system that runs entirely on a user's own machine, accepts a contract in PDF, DOCX or TXT form, reliably extracts the clauses that matter, shows exactly where in the document each finding comes from, and scores the contract's risk patterns with rules a non-expert can read and audit - without fabricating content and without pretending to be a lawyer.</w:t>
      </w:r>
    </w:p>
    <w:p>
      <w:pPr>
        <w:pStyle w:val="Heading2"/>
        <w:keepNext/>
        <w:spacing w:after="140" w:before="280" w:line="320" w:lineRule="atLeast"/>
      </w:pPr>
      <w:bookmarkStart w:id="100003" w:name="_Toc100003"/>
      <w:r>
        <w:rPr>
          <w:rFonts w:ascii="Segoe UI"/>
          <w:b/>
          <w:bCs/>
          <w:color w:val="0E4F47"/>
          <w:sz w:val="26"/>
          <w:szCs w:val="26"/>
        </w:rPr>
        <w:t xml:space="preserve">1.3 Objectives</w:t>
      </w:r>
      <w:bookmarkEnd w:id="100003"/>
    </w:p>
    <w:p>
      <w:pPr>
        <w:spacing w:after="80" w:line="312"/>
      </w:pPr>
      <w:r>
        <w:rPr>
          <w:rFonts w:ascii="Georgia"/>
          <w:b/>
          <w:bCs/>
          <w:color w:val="1F2A29"/>
          <w:sz w:val="22"/>
          <w:szCs w:val="22"/>
        </w:rPr>
        <w:t xml:space="preserve">Extraction — </w:t>
      </w:r>
      <w:r>
        <w:rPr>
          <w:rFonts w:ascii="Georgia"/>
          <w:color w:val="1F2A29"/>
          <w:sz w:val="22"/>
          <w:szCs w:val="22"/>
        </w:rPr>
        <w:t xml:space="preserve">Fine-tune a compact transformer for extractive question answering on the CUAD v1 dataset and package it for local inference on CUDA or CPU.</w:t>
      </w:r>
    </w:p>
    <w:p>
      <w:pPr>
        <w:spacing w:after="80" w:line="312"/>
      </w:pPr>
      <w:r>
        <w:rPr>
          <w:rFonts w:ascii="Georgia"/>
          <w:b/>
          <w:bCs/>
          <w:color w:val="1F2A29"/>
          <w:sz w:val="22"/>
          <w:szCs w:val="22"/>
        </w:rPr>
        <w:t xml:space="preserve">Evidence — </w:t>
      </w:r>
      <w:r>
        <w:rPr>
          <w:rFonts w:ascii="Georgia"/>
          <w:color w:val="1F2A29"/>
          <w:sz w:val="22"/>
          <w:szCs w:val="22"/>
        </w:rPr>
        <w:t xml:space="preserve">Map every extracted clause to exact character offsets in the parsed document and verify that invariant end to end.</w:t>
      </w:r>
    </w:p>
    <w:p>
      <w:pPr>
        <w:spacing w:after="80" w:line="312"/>
      </w:pPr>
      <w:r>
        <w:rPr>
          <w:rFonts w:ascii="Georgia"/>
          <w:b/>
          <w:bCs/>
          <w:color w:val="1F2A29"/>
          <w:sz w:val="22"/>
          <w:szCs w:val="22"/>
        </w:rPr>
        <w:t xml:space="preserve">Risk — </w:t>
      </w:r>
      <w:r>
        <w:rPr>
          <w:rFonts w:ascii="Georgia"/>
          <w:color w:val="1F2A29"/>
          <w:sz w:val="22"/>
          <w:szCs w:val="22"/>
        </w:rPr>
        <w:t xml:space="preserve">Compute risk with deterministic, documented heuristic rules, clearly separated from model confidence.</w:t>
      </w:r>
    </w:p>
    <w:p>
      <w:pPr>
        <w:spacing w:after="80" w:line="312"/>
      </w:pPr>
      <w:r>
        <w:rPr>
          <w:rFonts w:ascii="Georgia"/>
          <w:b/>
          <w:bCs/>
          <w:color w:val="1F2A29"/>
          <w:sz w:val="22"/>
          <w:szCs w:val="22"/>
        </w:rPr>
        <w:t xml:space="preserve">Robustness — </w:t>
      </w:r>
      <w:r>
        <w:rPr>
          <w:rFonts w:ascii="Georgia"/>
          <w:color w:val="1F2A29"/>
          <w:sz w:val="22"/>
          <w:szCs w:val="22"/>
        </w:rPr>
        <w:t xml:space="preserve">Handle corrupt, encrypted, scanned and oversized files with typed errors instead of silent failures.</w:t>
      </w:r>
    </w:p>
    <w:p>
      <w:pPr>
        <w:spacing w:after="80" w:line="312"/>
      </w:pPr>
      <w:r>
        <w:rPr>
          <w:rFonts w:ascii="Georgia"/>
          <w:b/>
          <w:bCs/>
          <w:color w:val="1F2A29"/>
          <w:sz w:val="22"/>
          <w:szCs w:val="22"/>
        </w:rPr>
        <w:t xml:space="preserve">Product — </w:t>
      </w:r>
      <w:r>
        <w:rPr>
          <w:rFonts w:ascii="Georgia"/>
          <w:color w:val="1F2A29"/>
          <w:sz w:val="22"/>
          <w:szCs w:val="22"/>
        </w:rPr>
        <w:t xml:space="preserve">Deliver a polished analysis workspace with history, search and recovery, plus a documented REST API.</w:t>
      </w:r>
    </w:p>
    <w:p>
      <w:pPr>
        <w:spacing w:after="80" w:line="312"/>
      </w:pPr>
      <w:r>
        <w:rPr>
          <w:rFonts w:ascii="Georgia"/>
          <w:b/>
          <w:bCs/>
          <w:color w:val="1F2A29"/>
          <w:sz w:val="22"/>
          <w:szCs w:val="22"/>
        </w:rPr>
        <w:t xml:space="preserve">Quality — </w:t>
      </w:r>
      <w:r>
        <w:rPr>
          <w:rFonts w:ascii="Georgia"/>
          <w:color w:val="1F2A29"/>
          <w:sz w:val="22"/>
          <w:szCs w:val="22"/>
        </w:rPr>
        <w:t xml:space="preserve">Prove the above with automated tests, a real-model end-to-end run and a security review.</w:t>
      </w:r>
    </w:p>
    <w:p>
      <w:pPr>
        <w:pStyle w:val="Heading2"/>
        <w:keepNext/>
        <w:spacing w:after="140" w:before="280" w:line="320" w:lineRule="atLeast"/>
      </w:pPr>
      <w:bookmarkStart w:id="100004" w:name="_Toc100004"/>
      <w:r>
        <w:rPr>
          <w:rFonts w:ascii="Segoe UI"/>
          <w:b/>
          <w:bCs/>
          <w:color w:val="0E4F47"/>
          <w:sz w:val="26"/>
          <w:szCs w:val="26"/>
        </w:rPr>
        <w:t xml:space="preserve">1.4 Scope</w:t>
      </w:r>
      <w:bookmarkEnd w:id="100004"/>
    </w:p>
    <w:p>
      <w:pPr>
        <w:spacing w:after="120" w:line="312"/>
        <w:jc w:val="both"/>
      </w:pPr>
      <w:r>
        <w:rPr>
          <w:rFonts w:ascii="Georgia"/>
          <w:color w:val="1F2A29"/>
          <w:sz w:val="22"/>
          <w:szCs w:val="22"/>
        </w:rPr>
        <w:t xml:space="preserve">Version 1 targets single-user use on Windows, fifteen of the forty-one CUAD clause types, and synchronous analysis. Multi-user authentication, OCR for scanned documents and asynchronous job queues are explicit non-goals for this release and are discussed as future work.</w:t>
      </w:r>
    </w:p>
    <w:p>
      <w:pPr>
        <w:pStyle w:val="Heading1"/>
        <w:pageBreakBefore/>
        <w:spacing w:after="200" w:before="360" w:line="380" w:lineRule="atLeast"/>
      </w:pPr>
      <w:bookmarkStart w:id="100005" w:name="_Toc100005"/>
      <w:r>
        <w:rPr>
          <w:rFonts w:ascii="Segoe UI"/>
          <w:b/>
          <w:bCs/>
          <w:color w:val="0E4F47"/>
          <w:sz w:val="34"/>
          <w:szCs w:val="34"/>
        </w:rPr>
        <w:t xml:space="preserve">2. System Overview</w:t>
      </w:r>
      <w:bookmarkEnd w:id="100005"/>
    </w:p>
    <w:p>
      <w:pPr>
        <w:pStyle w:val="Heading2"/>
        <w:keepNext/>
        <w:spacing w:after="140" w:before="280" w:line="320" w:lineRule="atLeast"/>
      </w:pPr>
      <w:bookmarkStart w:id="100006" w:name="_Toc100006"/>
      <w:r>
        <w:rPr>
          <w:rFonts w:ascii="Segoe UI"/>
          <w:b/>
          <w:bCs/>
          <w:color w:val="0E4F47"/>
          <w:sz w:val="26"/>
          <w:szCs w:val="26"/>
        </w:rPr>
        <w:t xml:space="preserve">2.1 Feature Summary</w:t>
      </w:r>
      <w:bookmarkEnd w:id="100006"/>
    </w:p>
    <w:p>
      <w:pPr>
        <w:spacing w:after="120" w:line="312"/>
        <w:jc w:val="both"/>
      </w:pPr>
      <w:r>
        <w:rPr>
          <w:rFonts w:ascii="Georgia"/>
          <w:color w:val="1F2A29"/>
          <w:sz w:val="22"/>
          <w:szCs w:val="22"/>
        </w:rPr>
        <w:t xml:space="preserve">ContractIQ accepts PDF, DOCX and TXT uploads, validates and sanitises them, parses the text with exact offsets, and analyses it with a fine-tuned MiniLM question-answering model covering fifteen clause types: Document Name, Parties, Agreement Date, Effective Date, Expiration Date, Renewal Term, Governing Law, Termination for Convenience, Non-Compete, Exclusivity, Anti-Assignment, License Grant, Audit Rights, Cap on Liability and Insurance. Each finding is presented with its source evidence highlighted in the document viewer, a confidence value, and the risk findings it triggered. Results persist to a searchable contract history with duplicate detection, and the engine status - including model state and compute device - is visible in the UI at all times.</w:t>
      </w:r>
    </w:p>
    <w:p>
      <w:pPr>
        <w:pStyle w:val="Heading2"/>
        <w:keepNext/>
        <w:spacing w:after="140" w:before="280" w:line="320" w:lineRule="atLeast"/>
      </w:pPr>
      <w:bookmarkStart w:id="100007" w:name="_Toc100007"/>
      <w:r>
        <w:rPr>
          <w:rFonts w:ascii="Segoe UI"/>
          <w:b/>
          <w:bCs/>
          <w:color w:val="0E4F47"/>
          <w:sz w:val="26"/>
          <w:szCs w:val="26"/>
        </w:rPr>
        <w:t xml:space="preserve">2.2 Design Principles</w:t>
      </w:r>
      <w:bookmarkEnd w:id="100007"/>
    </w:p>
    <w:p>
      <w:pPr>
        <w:spacing w:after="80" w:line="312"/>
      </w:pPr>
      <w:r>
        <w:rPr>
          <w:rFonts w:ascii="Georgia"/>
          <w:b/>
          <w:bCs/>
          <w:color w:val="1F2A29"/>
          <w:sz w:val="22"/>
          <w:szCs w:val="22"/>
        </w:rPr>
        <w:t xml:space="preserve">Local-first. — </w:t>
      </w:r>
      <w:r>
        <w:rPr>
          <w:rFonts w:ascii="Georgia"/>
          <w:color w:val="1F2A29"/>
          <w:sz w:val="22"/>
          <w:szCs w:val="22"/>
        </w:rPr>
        <w:t xml:space="preserve">uploads, inference and storage never leave the machine; there is no cloud dependency and no paid API.</w:t>
      </w:r>
    </w:p>
    <w:p>
      <w:pPr>
        <w:spacing w:after="80" w:line="312"/>
      </w:pPr>
      <w:r>
        <w:rPr>
          <w:rFonts w:ascii="Georgia"/>
          <w:b/>
          <w:bCs/>
          <w:color w:val="1F2A29"/>
          <w:sz w:val="22"/>
          <w:szCs w:val="22"/>
        </w:rPr>
        <w:t xml:space="preserve">Evidence-linked. — </w:t>
      </w:r>
      <w:r>
        <w:rPr>
          <w:rFonts w:ascii="Georgia"/>
          <w:color w:val="1F2A29"/>
          <w:sz w:val="22"/>
          <w:szCs w:val="22"/>
        </w:rPr>
        <w:t xml:space="preserve">every AI-derived statement stores the exact character range it came from; the UI renders only from those offsets.</w:t>
      </w:r>
    </w:p>
    <w:p>
      <w:pPr>
        <w:spacing w:after="80" w:line="312"/>
      </w:pPr>
      <w:r>
        <w:rPr>
          <w:rFonts w:ascii="Georgia"/>
          <w:b/>
          <w:bCs/>
          <w:color w:val="1F2A29"/>
          <w:sz w:val="22"/>
          <w:szCs w:val="22"/>
        </w:rPr>
        <w:t xml:space="preserve">Transparent risk. — </w:t>
      </w:r>
      <w:r>
        <w:rPr>
          <w:rFonts w:ascii="Georgia"/>
          <w:color w:val="1F2A29"/>
          <w:sz w:val="22"/>
          <w:szCs w:val="22"/>
        </w:rPr>
        <w:t xml:space="preserve">the risk score comes from fifteen readable rules, not from the model; AI confidence and risk are never conflated.</w:t>
      </w:r>
    </w:p>
    <w:p>
      <w:pPr>
        <w:spacing w:after="80" w:line="312"/>
      </w:pPr>
      <w:r>
        <w:rPr>
          <w:rFonts w:ascii="Georgia"/>
          <w:b/>
          <w:bCs/>
          <w:color w:val="1F2A29"/>
          <w:sz w:val="22"/>
          <w:szCs w:val="22"/>
        </w:rPr>
        <w:t xml:space="preserve">Honest uncertainty. — </w:t>
      </w:r>
      <w:r>
        <w:rPr>
          <w:rFonts w:ascii="Georgia"/>
          <w:color w:val="1F2A29"/>
          <w:sz w:val="22"/>
          <w:szCs w:val="22"/>
        </w:rPr>
        <w:t xml:space="preserve">low-confidence extractions are flagged as uncertain and excluded from scoring rather than silently trusted.</w:t>
      </w:r>
    </w:p>
    <w:p>
      <w:pPr>
        <w:spacing w:after="80" w:line="312"/>
      </w:pPr>
      <w:r>
        <w:rPr>
          <w:rFonts w:ascii="Georgia"/>
          <w:b/>
          <w:bCs/>
          <w:color w:val="1F2A29"/>
          <w:sz w:val="22"/>
          <w:szCs w:val="22"/>
        </w:rPr>
        <w:t xml:space="preserve">Portable. — </w:t>
      </w:r>
      <w:r>
        <w:rPr>
          <w:rFonts w:ascii="Georgia"/>
          <w:color w:val="1F2A29"/>
          <w:sz w:val="22"/>
          <w:szCs w:val="22"/>
        </w:rPr>
        <w:t xml:space="preserve">all paths are project-relative; the folder runs from any location, including paths with spaces.</w:t>
      </w:r>
    </w:p>
    <w:p>
      <w:pPr>
        <w:pStyle w:val="Heading2"/>
        <w:keepNext/>
        <w:spacing w:after="140" w:before="280" w:line="320" w:lineRule="atLeast"/>
      </w:pPr>
      <w:bookmarkStart w:id="100008" w:name="_Toc100008"/>
      <w:r>
        <w:rPr>
          <w:rFonts w:ascii="Segoe UI"/>
          <w:b/>
          <w:bCs/>
          <w:color w:val="0E4F47"/>
          <w:sz w:val="26"/>
          <w:szCs w:val="26"/>
        </w:rPr>
        <w:t xml:space="preserve">2.3 Technology Stack</w:t>
      </w:r>
      <w:bookmarkEnd w:id="100008"/>
    </w:p>
    <w:tbl>
      <w:tblPr>
        <w:tblW w:type="pct" w:w="100%"/>
        <w:tblBorders>
          <w:top w:val="single" w:color="D3E2DE" w:sz="2"/>
          <w:left w:val="single" w:color="D3E2DE" w:sz="2"/>
          <w:bottom w:val="single" w:color="D3E2DE" w:sz="2"/>
          <w:right w:val="single" w:color="D3E2DE" w:sz="2"/>
          <w:insideH w:val="single" w:color="D3E2DE" w:sz="2"/>
          <w:insideV w:val="none" w:color="auto" w:sz="0"/>
        </w:tblBorders>
        <w:tblLayout w:type="fixed"/>
      </w:tblPr>
      <w:tblGrid>
        <w:gridCol w:w="2200"/>
        <w:gridCol w:w="5200"/>
        <w:gridCol w:w="2466"/>
      </w:tblGrid>
      <w:tr>
        <w:trPr>
          <w:cantSplit/>
          <w:tblHeader/>
        </w:trPr>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Layer</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Technology</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Version</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Backend</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Python, FastAPI, Uvicorn, SQLAlchemy, SQLite</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3.11 / 0.128.0 / 0.40.0 / 2.0.49</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Parsing</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PyMuPDF, python-docx</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1.26.7 / 1.2.0</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Machine learning</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PyTorch, Transformers, scikit-learn</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2.13.0 / 5.16.1 / 1.9.0</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Model</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deepset/minilm-uncased-squad2, fine-tuned on CUAD v1</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33.4M parameters</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Frontend</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React, TypeScript, Vite, Tailwind CSS, Framer Motion</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19 / 5.8 / 7 / 4 / 12</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Testing</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pytest, vitest, Playwright</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9.1.1 / 3.0 / 1.62</w:t>
            </w:r>
          </w:p>
        </w:tc>
      </w:tr>
    </w:tbl>
    <w:p>
      <w:pPr>
        <w:spacing w:after="60"/>
      </w:pPr>
    </w:p>
    <w:p>
      <w:pPr>
        <w:pStyle w:val="Heading1"/>
        <w:pageBreakBefore/>
        <w:spacing w:after="200" w:before="360" w:line="380" w:lineRule="atLeast"/>
      </w:pPr>
      <w:bookmarkStart w:id="100009" w:name="_Toc100009"/>
      <w:r>
        <w:rPr>
          <w:rFonts w:ascii="Segoe UI"/>
          <w:b/>
          <w:bCs/>
          <w:color w:val="0E4F47"/>
          <w:sz w:val="34"/>
          <w:szCs w:val="34"/>
        </w:rPr>
        <w:t xml:space="preserve">3. System Architecture</w:t>
      </w:r>
      <w:bookmarkEnd w:id="100009"/>
    </w:p>
    <w:p>
      <w:pPr>
        <w:pStyle w:val="Heading2"/>
        <w:keepNext/>
        <w:spacing w:after="140" w:before="280" w:line="320" w:lineRule="atLeast"/>
      </w:pPr>
      <w:bookmarkStart w:id="100010" w:name="_Toc100010"/>
      <w:r>
        <w:rPr>
          <w:rFonts w:ascii="Segoe UI"/>
          <w:b/>
          <w:bCs/>
          <w:color w:val="0E4F47"/>
          <w:sz w:val="26"/>
          <w:szCs w:val="26"/>
        </w:rPr>
        <w:t xml:space="preserve">3.1 Components</w:t>
      </w:r>
      <w:bookmarkEnd w:id="100010"/>
    </w:p>
    <w:p>
      <w:pPr>
        <w:spacing w:after="120" w:line="312"/>
        <w:jc w:val="both"/>
      </w:pPr>
      <w:r>
        <w:rPr>
          <w:rFonts w:ascii="Georgia"/>
          <w:color w:val="1F2A29"/>
          <w:sz w:val="22"/>
          <w:szCs w:val="22"/>
        </w:rPr>
        <w:t xml:space="preserve">The system is a strict four-layer pipeline: a React single-page application communicates over HTTP with the FastAPI backend; the backend orchestrates document parsing, machine-learning inference and rule evaluation; the ML layer is isolated behind a Python Protocol so the model can be replaced without backend changes; and SQLAlchemy persists everything to a single SQLite database file. All state changes flow in one direction - the UI never writes to the database directly.</w:t>
      </w:r>
    </w:p>
    <w:tbl>
      <w:tblPr>
        <w:tblW w:type="pct" w:w="100%"/>
        <w:tblBorders>
          <w:top w:val="single" w:color="D3E2DE" w:sz="2"/>
          <w:left w:val="single" w:color="D3E2DE" w:sz="2"/>
          <w:bottom w:val="single" w:color="D3E2DE" w:sz="2"/>
          <w:right w:val="single" w:color="D3E2DE" w:sz="2"/>
          <w:insideH w:val="single" w:color="D3E2DE" w:sz="2"/>
          <w:insideV w:val="none" w:color="auto" w:sz="0"/>
        </w:tblBorders>
        <w:tblLayout w:type="fixed"/>
      </w:tblPr>
      <w:tblGrid>
        <w:gridCol w:w="3400"/>
        <w:gridCol w:w="6466"/>
      </w:tblGrid>
      <w:tr>
        <w:trPr>
          <w:cantSplit/>
          <w:tblHeader/>
        </w:trPr>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Module</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Responsibility</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app/main.py</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Application factory, request-ID middleware, CORS, error-envelope mapping, lifespan startup and crash recovery</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app/api/</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Route registration under /api; contracts, analyses, stats and health routers; dependency injection</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app/core/</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Environment-driven settings (CONTRACTIQ_* variables), typed exception hierarchy, structured logging</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app/services/document_parser.py</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PDF/DOCX/TXT extraction with offset fidelity; detects encrypted and text-less documents</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app/services/contract_analysis.py</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Upload, state machine, sha-256 duplicate detection, atomic persistence, idempotent re-analysis</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app/services/ml_adapter.py</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Lazy singleton wrapper exposing the analyzer behind a ClauseAnalyzer Protocol</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app/risk/</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Deterministic rule engine: 15 rules, weights, bands, confidence gate</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app/db/</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SQLAlchemy models and repository; transactions with rollback</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ml/src/</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Training, evaluation, retrieval, chunking, decoding and the ContractAnalyzer inference engine</w:t>
            </w:r>
          </w:p>
        </w:tc>
      </w:tr>
    </w:tbl>
    <w:p>
      <w:pPr>
        <w:pStyle w:val="Heading2"/>
        <w:keepNext/>
        <w:spacing w:after="140" w:before="280" w:line="320" w:lineRule="atLeast"/>
      </w:pPr>
      <w:bookmarkStart w:id="100011" w:name="_Toc100011"/>
      <w:r>
        <w:rPr>
          <w:rFonts w:ascii="Segoe UI"/>
          <w:b/>
          <w:bCs/>
          <w:color w:val="0E4F47"/>
          <w:sz w:val="26"/>
          <w:szCs w:val="26"/>
        </w:rPr>
        <w:t xml:space="preserve">3.2 Request Lifecycle</w:t>
      </w:r>
      <w:bookmarkEnd w:id="100011"/>
    </w:p>
    <w:p>
      <w:pPr>
        <w:spacing w:after="120" w:line="312"/>
        <w:jc w:val="both"/>
      </w:pPr>
      <w:r>
        <w:rPr>
          <w:rFonts w:ascii="Georgia"/>
          <w:color w:val="1F2A29"/>
          <w:sz w:val="22"/>
          <w:szCs w:val="22"/>
        </w:rPr>
        <w:t xml:space="preserve">Upload: the file is validated (type, size up to 20 MB), stored under a UUID name, parsed to text with offsets, hashed (SHA-256 of normalised text) and persisted with status READY; a match on the hash flags the contract as a duplicate of an earlier upload. Analysis: the contract enters ANALYZING, the ML adapter lazy-loads the model, runs per-clause question answering over retrieval-selected text blocks, and returns spans with offsets; the risk engine evaluates its rules against those findings; results are written atomically and the status moves to COMPLETED (or FAILED with a typed error). The analyze operation is idempotent - re-analysis replaces the previous results - and a 409 is returned if an analysis is already in progress.</w:t>
      </w:r>
    </w:p>
    <w:p>
      <w:pPr>
        <w:pStyle w:val="Heading2"/>
        <w:keepNext/>
        <w:spacing w:after="140" w:before="280" w:line="320" w:lineRule="atLeast"/>
      </w:pPr>
      <w:bookmarkStart w:id="100012" w:name="_Toc100012"/>
      <w:r>
        <w:rPr>
          <w:rFonts w:ascii="Segoe UI"/>
          <w:b/>
          <w:bCs/>
          <w:color w:val="0E4F47"/>
          <w:sz w:val="26"/>
          <w:szCs w:val="26"/>
        </w:rPr>
        <w:t xml:space="preserve">3.3 Error Handling and Resilience</w:t>
      </w:r>
      <w:bookmarkEnd w:id="100012"/>
    </w:p>
    <w:p>
      <w:pPr>
        <w:spacing w:after="120" w:line="312"/>
        <w:jc w:val="both"/>
      </w:pPr>
      <w:r>
        <w:rPr>
          <w:rFonts w:ascii="Georgia"/>
          <w:color w:val="1F2A29"/>
          <w:sz w:val="22"/>
          <w:szCs w:val="22"/>
        </w:rPr>
        <w:t xml:space="preserve">Fifteen domain exceptions map to a single JSON envelope carrying an error code, a human message and a request ID; representative codes include FILE_TOO_LARGE (413), CORRUPT_DOCUMENT (422), ENCRYPTED_DOCUMENT (422), OCR_REQUIRED (422) and MODEL_UNAVAILABLE (503). A CUDA out-of-memory condition is caught and recorded as a failed analysis instead of crashing the server. On startup the application recovers contracts stuck in ANALYZING from a previous crash into a safe state. Contract text is never written to logs.</w:t>
      </w:r>
    </w:p>
    <w:p>
      <w:pPr>
        <w:pStyle w:val="Heading2"/>
        <w:keepNext/>
        <w:spacing w:after="140" w:before="280" w:line="320" w:lineRule="atLeast"/>
      </w:pPr>
      <w:bookmarkStart w:id="100013" w:name="_Toc100013"/>
      <w:r>
        <w:rPr>
          <w:rFonts w:ascii="Segoe UI"/>
          <w:b/>
          <w:bCs/>
          <w:color w:val="0E4F47"/>
          <w:sz w:val="26"/>
          <w:szCs w:val="26"/>
        </w:rPr>
        <w:t xml:space="preserve">3.4 Data Model</w:t>
      </w:r>
      <w:bookmarkEnd w:id="100013"/>
    </w:p>
    <w:tbl>
      <w:tblPr>
        <w:tblW w:type="pct" w:w="100%"/>
        <w:tblBorders>
          <w:top w:val="single" w:color="D3E2DE" w:sz="2"/>
          <w:left w:val="single" w:color="D3E2DE" w:sz="2"/>
          <w:bottom w:val="single" w:color="D3E2DE" w:sz="2"/>
          <w:right w:val="single" w:color="D3E2DE" w:sz="2"/>
          <w:insideH w:val="single" w:color="D3E2DE" w:sz="2"/>
          <w:insideV w:val="none" w:color="auto" w:sz="0"/>
        </w:tblBorders>
        <w:tblLayout w:type="fixed"/>
      </w:tblPr>
      <w:tblGrid>
        <w:gridCol w:w="1900"/>
        <w:gridCol w:w="4400"/>
        <w:gridCol w:w="3566"/>
      </w:tblGrid>
      <w:tr>
        <w:trPr>
          <w:cantSplit/>
          <w:tblHeader/>
        </w:trPr>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Table</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Key fields</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Purpose</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contracts</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id (hex PK), filename, status, text_hash, raw_text, duplicate_of_id</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Uploaded documents and parse state</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analyses</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contract_id FK, model_state, overall_risk_score/level, processing_ms</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One row per analysis run</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clause_results</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analysis_id FK, clause_type, found, start_char/end_char, confidence, uncertain</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Per-clause extraction with evidence offsets</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risk_findings</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analysis_id FK, rule_id, severity, weight, evidence, uncertain</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Rule evaluations behind the score</w:t>
            </w:r>
          </w:p>
        </w:tc>
      </w:tr>
    </w:tbl>
    <w:p>
      <w:pPr>
        <w:spacing w:after="60"/>
      </w:pPr>
    </w:p>
    <w:p>
      <w:pPr>
        <w:pStyle w:val="Heading1"/>
        <w:pageBreakBefore/>
        <w:spacing w:after="200" w:before="360" w:line="380" w:lineRule="atLeast"/>
      </w:pPr>
      <w:bookmarkStart w:id="100014" w:name="_Toc100014"/>
      <w:r>
        <w:rPr>
          <w:rFonts w:ascii="Segoe UI"/>
          <w:b/>
          <w:bCs/>
          <w:color w:val="0E4F47"/>
          <w:sz w:val="34"/>
          <w:szCs w:val="34"/>
        </w:rPr>
        <w:t xml:space="preserve">4. Machine Learning Pipeline</w:t>
      </w:r>
      <w:bookmarkEnd w:id="100014"/>
    </w:p>
    <w:p>
      <w:pPr>
        <w:pStyle w:val="Heading2"/>
        <w:keepNext/>
        <w:spacing w:after="140" w:before="280" w:line="320" w:lineRule="atLeast"/>
      </w:pPr>
      <w:bookmarkStart w:id="100015" w:name="_Toc100015"/>
      <w:r>
        <w:rPr>
          <w:rFonts w:ascii="Segoe UI"/>
          <w:b/>
          <w:bCs/>
          <w:color w:val="0E4F47"/>
          <w:sz w:val="26"/>
          <w:szCs w:val="26"/>
        </w:rPr>
        <w:t xml:space="preserve">4.1 Dataset</w:t>
      </w:r>
      <w:bookmarkEnd w:id="100015"/>
    </w:p>
    <w:p>
      <w:pPr>
        <w:spacing w:after="120" w:line="312"/>
        <w:jc w:val="both"/>
      </w:pPr>
      <w:r>
        <w:rPr>
          <w:rFonts w:ascii="Georgia"/>
          <w:color w:val="1F2A29"/>
          <w:sz w:val="22"/>
          <w:szCs w:val="22"/>
        </w:rPr>
        <w:t xml:space="preserve">CUAD v1 (The Atticus Project) contains 510 US commercial contracts annotated with 41 clause categories, 20,910 question-answer pairs in total. The official split assigns 408 contracts to training and holds out 102 for testing; within the training portion, 367 contracts were used for fine-tuning and 41 for validation and threshold calibration. Dataset integrity is guarded by a recorded SHA-256 checksum of the raw archive.</w:t>
      </w:r>
    </w:p>
    <w:p>
      <w:pPr>
        <w:pStyle w:val="Heading2"/>
        <w:keepNext/>
        <w:spacing w:after="140" w:before="280" w:line="320" w:lineRule="atLeast"/>
      </w:pPr>
      <w:bookmarkStart w:id="100016" w:name="_Toc100016"/>
      <w:r>
        <w:rPr>
          <w:rFonts w:ascii="Segoe UI"/>
          <w:b/>
          <w:bCs/>
          <w:color w:val="0E4F47"/>
          <w:sz w:val="26"/>
          <w:szCs w:val="26"/>
        </w:rPr>
        <w:t xml:space="preserve">4.2 Task Formulation</w:t>
      </w:r>
      <w:bookmarkEnd w:id="100016"/>
    </w:p>
    <w:p>
      <w:pPr>
        <w:spacing w:after="120" w:line="312"/>
        <w:jc w:val="both"/>
      </w:pPr>
      <w:r>
        <w:rPr>
          <w:rFonts w:ascii="Georgia"/>
          <w:color w:val="1F2A29"/>
          <w:sz w:val="22"/>
          <w:szCs w:val="22"/>
        </w:rPr>
        <w:t xml:space="preserve">Clause extraction is cast as extractive question answering: each clause type has a natural-language question template (for example, "Is there a non-compete clause?"), the question and a block of contract text are tokenised together, and the model returns either an answer span or a no-answer decision. This formulation yields evidence for free - the answer span is the character range highlighted in the UI - and natively supports absence, which a pure classifier does not.</w:t>
      </w:r>
    </w:p>
    <w:p>
      <w:pPr>
        <w:pStyle w:val="Heading2"/>
        <w:keepNext/>
        <w:spacing w:after="140" w:before="280" w:line="320" w:lineRule="atLeast"/>
      </w:pPr>
      <w:bookmarkStart w:id="100017" w:name="_Toc100017"/>
      <w:r>
        <w:rPr>
          <w:rFonts w:ascii="Segoe UI"/>
          <w:b/>
          <w:bCs/>
          <w:color w:val="0E4F47"/>
          <w:sz w:val="26"/>
          <w:szCs w:val="26"/>
        </w:rPr>
        <w:t xml:space="preserve">4.3 Base Model Selection</w:t>
      </w:r>
      <w:bookmarkEnd w:id="100017"/>
    </w:p>
    <w:tbl>
      <w:tblPr>
        <w:tblW w:type="pct" w:w="100%"/>
        <w:tblBorders>
          <w:top w:val="single" w:color="D3E2DE" w:sz="2"/>
          <w:left w:val="single" w:color="D3E2DE" w:sz="2"/>
          <w:bottom w:val="single" w:color="D3E2DE" w:sz="2"/>
          <w:right w:val="single" w:color="D3E2DE" w:sz="2"/>
          <w:insideH w:val="single" w:color="D3E2DE" w:sz="2"/>
          <w:insideV w:val="none" w:color="auto" w:sz="0"/>
        </w:tblBorders>
        <w:tblLayout w:type="fixed"/>
      </w:tblPr>
      <w:tblGrid>
        <w:gridCol w:w="3100"/>
        <w:gridCol w:w="1100"/>
        <w:gridCol w:w="2100"/>
        <w:gridCol w:w="1600"/>
        <w:gridCol w:w="1966"/>
      </w:tblGrid>
      <w:tr>
        <w:trPr>
          <w:cantSplit/>
          <w:tblHeader/>
        </w:trPr>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Candidate</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Params</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Throughput (CPU, win/s)</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No-answer head</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Decision</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deepset/minilm-uncased-squad2</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33.4M</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4.43</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Yes (SQuAD 2.0)</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Selected</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distilbert-base-uncased (SQuAD 1.1)</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66M</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3.41</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No</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Rejected: no no-answer training; slower</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deepset/roberta-base-squad2</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125M</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~1.2</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Yes</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Rejected: 3.7x compute; tokenizer mismatch</w:t>
            </w:r>
          </w:p>
        </w:tc>
      </w:tr>
    </w:tbl>
    <w:p>
      <w:pPr>
        <w:spacing w:after="60"/>
      </w:pPr>
    </w:p>
    <w:p>
      <w:pPr>
        <w:pStyle w:val="Heading2"/>
        <w:keepNext/>
        <w:spacing w:after="140" w:before="280" w:line="320" w:lineRule="atLeast"/>
      </w:pPr>
      <w:bookmarkStart w:id="100018" w:name="_Toc100018"/>
      <w:r>
        <w:rPr>
          <w:rFonts w:ascii="Segoe UI"/>
          <w:b/>
          <w:bCs/>
          <w:color w:val="0E4F47"/>
          <w:sz w:val="26"/>
          <w:szCs w:val="26"/>
        </w:rPr>
        <w:t xml:space="preserve">4.4 Preprocessing and Windowing</w:t>
      </w:r>
      <w:bookmarkEnd w:id="100018"/>
    </w:p>
    <w:p>
      <w:pPr>
        <w:spacing w:after="120" w:line="312"/>
        <w:jc w:val="both"/>
      </w:pPr>
      <w:r>
        <w:rPr>
          <w:rFonts w:ascii="Georgia"/>
          <w:color w:val="1F2A29"/>
          <w:sz w:val="22"/>
          <w:szCs w:val="22"/>
        </w:rPr>
        <w:t xml:space="preserve">Contracts far exceed the model's 512-token context, so documents are chunked into overlapping windows of 512 tokens with a stride of 128 and a maximum answer length of 64 tokens. The full training corpus expands to roughly 183,000 candidate windows; positive-answer windows are kept and negatives are sampled at a 1:3 ratio, yielding 20,420 windows for the fine-tuning run. Character-offset mappings are computed during tokenisation so decoded spans map back to exact document offsets.</w:t>
      </w:r>
    </w:p>
    <w:p>
      <w:pPr>
        <w:pStyle w:val="Heading2"/>
        <w:keepNext/>
        <w:spacing w:after="140" w:before="280" w:line="320" w:lineRule="atLeast"/>
      </w:pPr>
      <w:bookmarkStart w:id="100019" w:name="_Toc100019"/>
      <w:r>
        <w:rPr>
          <w:rFonts w:ascii="Segoe UI"/>
          <w:b/>
          <w:bCs/>
          <w:color w:val="0E4F47"/>
          <w:sz w:val="26"/>
          <w:szCs w:val="26"/>
        </w:rPr>
        <w:t xml:space="preserve">4.5 Retrieval Optimization</w:t>
      </w:r>
      <w:bookmarkEnd w:id="100019"/>
    </w:p>
    <w:p>
      <w:pPr>
        <w:spacing w:after="120" w:line="312"/>
        <w:jc w:val="both"/>
      </w:pPr>
      <w:r>
        <w:rPr>
          <w:rFonts w:ascii="Georgia"/>
          <w:color w:val="1F2A29"/>
          <w:sz w:val="22"/>
          <w:szCs w:val="22"/>
        </w:rPr>
        <w:t xml:space="preserve">On CPU, running every window of a long contract is the dominant cost, so a TF-IDF block-ranking stage (scikit-learn, local) selects the fifteen most relevant 1,200-character blocks per clause, boosted by clause-specific keyword lexicons and the document title. Measured gold-answer recall at K=15 improves from 79.4% (question only) to 91.4% (with keywords) to 95.2% (keywords plus title boost). Eleven of the fifteen clauses use retrieval; four high-value clause types (non-compete, exclusivity, cap on liability, license grant) still run over the full document because their recall demands it.</w:t>
      </w:r>
    </w:p>
    <w:p>
      <w:pPr>
        <w:pStyle w:val="Heading2"/>
        <w:keepNext/>
        <w:spacing w:after="140" w:before="280" w:line="320" w:lineRule="atLeast"/>
      </w:pPr>
      <w:bookmarkStart w:id="100020" w:name="_Toc100020"/>
      <w:r>
        <w:rPr>
          <w:rFonts w:ascii="Segoe UI"/>
          <w:b/>
          <w:bCs/>
          <w:color w:val="0E4F47"/>
          <w:sz w:val="26"/>
          <w:szCs w:val="26"/>
        </w:rPr>
        <w:t xml:space="preserve">4.6 Fine-Tuning</w:t>
      </w:r>
      <w:bookmarkEnd w:id="100020"/>
    </w:p>
    <w:tbl>
      <w:tblPr>
        <w:tblW w:type="pct" w:w="100%"/>
        <w:tblBorders>
          <w:top w:val="single" w:color="D3E2DE" w:sz="2"/>
          <w:left w:val="single" w:color="D3E2DE" w:sz="2"/>
          <w:bottom w:val="single" w:color="D3E2DE" w:sz="2"/>
          <w:right w:val="single" w:color="D3E2DE" w:sz="2"/>
          <w:insideH w:val="single" w:color="D3E2DE" w:sz="2"/>
          <w:insideV w:val="none" w:color="auto" w:sz="0"/>
        </w:tblBorders>
        <w:tblLayout w:type="fixed"/>
      </w:tblPr>
      <w:tblGrid>
        <w:gridCol w:w="3200"/>
        <w:gridCol w:w="6666"/>
      </w:tblGrid>
      <w:tr>
        <w:trPr>
          <w:cantSplit/>
          <w:tblHeader/>
        </w:trPr>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Setting</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Value</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Run</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 epoch, 20,420 windows (5,105 positive / 15,315 sampled negative), batch 16</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Optimiser</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AdamW, learning rate 3e-5, weight decay 0.01, 10% warmup</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Precision / seed</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AMP fp16, seed 42</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Hardware / wall time</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NVIDIA RTX 2050 (4 GB), 1,277 steps in 838 seconds</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Validation</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token start accuracy 92.6%; thresholds frozen on the 41-contract dev split</w:t>
            </w:r>
          </w:p>
        </w:tc>
      </w:tr>
    </w:tbl>
    <w:p>
      <w:pPr>
        <w:spacing w:after="60"/>
      </w:pPr>
    </w:p>
    <w:p>
      <w:pPr>
        <w:pStyle w:val="Heading2"/>
        <w:keepNext/>
        <w:spacing w:after="140" w:before="280" w:line="320" w:lineRule="atLeast"/>
      </w:pPr>
      <w:bookmarkStart w:id="100021" w:name="_Toc100021"/>
      <w:r>
        <w:rPr>
          <w:rFonts w:ascii="Segoe UI"/>
          <w:b/>
          <w:bCs/>
          <w:color w:val="0E4F47"/>
          <w:sz w:val="26"/>
          <w:szCs w:val="26"/>
        </w:rPr>
        <w:t xml:space="preserve">4.7 Evaluation Protocol and Results</w:t>
      </w:r>
      <w:bookmarkEnd w:id="100021"/>
    </w:p>
    <w:p>
      <w:pPr>
        <w:spacing w:after="120" w:line="312"/>
        <w:jc w:val="both"/>
      </w:pPr>
      <w:r>
        <w:rPr>
          <w:rFonts w:ascii="Georgia"/>
          <w:color w:val="1F2A29"/>
          <w:sz w:val="22"/>
          <w:szCs w:val="22"/>
        </w:rPr>
        <w:t xml:space="preserve">Thresholds were calibrated once on the validation split and frozen; the official 102-contract test set was then evaluated exactly once. Results are reported without post-hoc tuning.</w:t>
      </w:r>
    </w:p>
    <w:tbl>
      <w:tblPr>
        <w:tblW w:type="pct" w:w="100%"/>
        <w:tblBorders>
          <w:top w:val="single" w:color="D3E2DE" w:sz="2"/>
          <w:left w:val="single" w:color="D3E2DE" w:sz="2"/>
          <w:bottom w:val="single" w:color="D3E2DE" w:sz="2"/>
          <w:right w:val="single" w:color="D3E2DE" w:sz="2"/>
          <w:insideH w:val="single" w:color="D3E2DE" w:sz="2"/>
          <w:insideV w:val="none" w:color="auto" w:sz="0"/>
        </w:tblBorders>
        <w:tblLayout w:type="fixed"/>
      </w:tblPr>
      <w:tblGrid>
        <w:gridCol w:w="2800"/>
        <w:gridCol w:w="2000"/>
        <w:gridCol w:w="2500"/>
        <w:gridCol w:w="2566"/>
      </w:tblGrid>
      <w:tr>
        <w:trPr>
          <w:cantSplit/>
          <w:tblHeader/>
        </w:trPr>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Metric</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Overall</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Answerable (875 pairs)</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No-answer (655 pairs)</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Exact match (EM)</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60.8%</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50.6%</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74.4%</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Token F1</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66.2%</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60.2%</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74.4% (accuracy)</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Answerable detection</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recall 83.2%</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precision 81.2% (macro F1 82.2%)</w:t>
            </w:r>
          </w:p>
        </w:tc>
      </w:tr>
    </w:tbl>
    <w:p>
      <w:pPr>
        <w:spacing w:after="60"/>
      </w:pPr>
    </w:p>
    <w:p>
      <w:pPr>
        <w:spacing w:after="120" w:line="312"/>
        <w:jc w:val="both"/>
      </w:pPr>
      <w:r>
        <w:rPr>
          <w:rFonts w:ascii="Georgia"/>
          <w:color w:val="1F2A29"/>
          <w:sz w:val="22"/>
          <w:szCs w:val="22"/>
        </w:rPr>
        <w:t xml:space="preserve">Per-clause F1 spans a wide range, and the spread is reported rather than hidden: Document Name 89.0%, Governing Law 84.5%, Agreement Date 77.9%, License Grant 56.1%, and Parties 13.7%. Parties is the known weak spot - its gold answers frequently span multiple entity mentions across the preamble, which the single-span decoder cannot fully capture. This is disclosed in the UI and flagged as future work (multi-span decoding).</w:t>
      </w:r>
    </w:p>
    <w:p>
      <w:pPr>
        <w:pStyle w:val="Heading2"/>
        <w:keepNext/>
        <w:spacing w:after="140" w:before="280" w:line="320" w:lineRule="atLeast"/>
      </w:pPr>
      <w:bookmarkStart w:id="100022" w:name="_Toc100022"/>
      <w:r>
        <w:rPr>
          <w:rFonts w:ascii="Segoe UI"/>
          <w:b/>
          <w:bCs/>
          <w:color w:val="0E4F47"/>
          <w:sz w:val="26"/>
          <w:szCs w:val="26"/>
        </w:rPr>
        <w:t xml:space="preserve">4.8 Inference Design</w:t>
      </w:r>
      <w:bookmarkEnd w:id="100022"/>
    </w:p>
    <w:p>
      <w:pPr>
        <w:spacing w:after="120" w:line="312"/>
        <w:jc w:val="both"/>
      </w:pPr>
      <w:r>
        <w:rPr>
          <w:rFonts w:ascii="Georgia"/>
          <w:color w:val="1F2A29"/>
          <w:sz w:val="22"/>
          <w:szCs w:val="22"/>
        </w:rPr>
        <w:t xml:space="preserve">The backend wraps a single ContractAnalyzer instance behind a ClauseAnalyzer Protocol, lazy-loaded on first analysis. The final fine-tuned checkpoint ships inside the repository (ml/models/final, ~133 MB); if it is missing the adapter falls back to the public baseline and reports model_state = zero_shot_baseline honestly. Compute device is detected at startup (CUDA when available, CPU otherwise), and a CUDA out-of-memory error during analysis is contained as a failed analysis rather than a process crash.</w:t>
      </w:r>
    </w:p>
    <w:p>
      <w:pPr>
        <w:pStyle w:val="Heading2"/>
        <w:keepNext/>
        <w:spacing w:after="140" w:before="280" w:line="320" w:lineRule="atLeast"/>
      </w:pPr>
      <w:bookmarkStart w:id="100023" w:name="_Toc100023"/>
      <w:r>
        <w:rPr>
          <w:rFonts w:ascii="Segoe UI"/>
          <w:b/>
          <w:bCs/>
          <w:color w:val="0E4F47"/>
          <w:sz w:val="26"/>
          <w:szCs w:val="26"/>
        </w:rPr>
        <w:t xml:space="preserve">4.9 Quantization Decision</w:t>
      </w:r>
      <w:bookmarkEnd w:id="100023"/>
    </w:p>
    <w:p>
      <w:pPr>
        <w:spacing w:after="120" w:line="312"/>
        <w:jc w:val="both"/>
      </w:pPr>
      <w:r>
        <w:rPr>
          <w:rFonts w:ascii="Georgia"/>
          <w:color w:val="1F2A29"/>
          <w:sz w:val="22"/>
          <w:szCs w:val="22"/>
        </w:rPr>
        <w:t xml:space="preserve">INT8 dynamic quantization was benchmarked and rejected: it delivered only a 1.24x speed-up while flipping 56% of argmax span decisions - an unacceptable accuracy trade for a system whose core promise is evidence fidelity.</w:t>
      </w:r>
    </w:p>
    <w:p>
      <w:pPr>
        <w:pStyle w:val="Heading2"/>
        <w:keepNext/>
        <w:spacing w:after="140" w:before="280" w:line="320" w:lineRule="atLeast"/>
      </w:pPr>
      <w:bookmarkStart w:id="100024" w:name="_Toc100024"/>
      <w:r>
        <w:rPr>
          <w:rFonts w:ascii="Segoe UI"/>
          <w:b/>
          <w:bCs/>
          <w:color w:val="0E4F47"/>
          <w:sz w:val="26"/>
          <w:szCs w:val="26"/>
        </w:rPr>
        <w:t xml:space="preserve">4.10 Question Templates and Span Decoding</w:t>
      </w:r>
      <w:bookmarkEnd w:id="100024"/>
    </w:p>
    <w:p>
      <w:pPr>
        <w:spacing w:after="120" w:line="312"/>
        <w:jc w:val="both"/>
      </w:pPr>
      <w:r>
        <w:rPr>
          <w:rFonts w:ascii="Georgia"/>
          <w:color w:val="1F2A29"/>
          <w:sz w:val="22"/>
          <w:szCs w:val="22"/>
        </w:rPr>
        <w:t xml:space="preserve">Each enabled clause type carries a curated question template from CUAD, for example: "Is there a non-compete restriction?" or "What is the Cap on Liability?". At inference the question is tokenized with each candidate text block; the model produces a start-logit and end-logit for every token, and the decoder scores all plausible spans (start before end, within the 64-token limit) by start_logit + end_logit - length penalty. The highest-scoring span competes against the no-answer score (the logits at the [CLS] position); a span is only returned when its score beats the no-answer score by more than the calibrated threshold. Calibrated per-split thresholds were frozen on the validation split: a span that wins is emitted with its character offsets and confidence; otherwise the clause is reported as absent with the no-answer confidence. This is why the system can be wrong in only two visible ways - extracting the wrong span or declaring absence - and both are visible in the UI with their evidence.</w:t>
      </w:r>
    </w:p>
    <w:p>
      <w:pPr>
        <w:pStyle w:val="Heading1"/>
        <w:pageBreakBefore/>
        <w:spacing w:after="200" w:before="360" w:line="380" w:lineRule="atLeast"/>
      </w:pPr>
      <w:bookmarkStart w:id="100025" w:name="_Toc100025"/>
      <w:r>
        <w:rPr>
          <w:rFonts w:ascii="Segoe UI"/>
          <w:b/>
          <w:bCs/>
          <w:color w:val="0E4F47"/>
          <w:sz w:val="34"/>
          <w:szCs w:val="34"/>
        </w:rPr>
        <w:t xml:space="preserve">5. Risk Engine</w:t>
      </w:r>
      <w:bookmarkEnd w:id="100025"/>
    </w:p>
    <w:p>
      <w:pPr>
        <w:pStyle w:val="Heading2"/>
        <w:keepNext/>
        <w:spacing w:after="140" w:before="280" w:line="320" w:lineRule="atLeast"/>
      </w:pPr>
      <w:bookmarkStart w:id="100026" w:name="_Toc100026"/>
      <w:r>
        <w:rPr>
          <w:rFonts w:ascii="Segoe UI"/>
          <w:b/>
          <w:bCs/>
          <w:color w:val="0E4F47"/>
          <w:sz w:val="26"/>
          <w:szCs w:val="26"/>
        </w:rPr>
        <w:t xml:space="preserve">5.1 Philosophy</w:t>
      </w:r>
      <w:bookmarkEnd w:id="100026"/>
    </w:p>
    <w:p>
      <w:pPr>
        <w:spacing w:after="120" w:line="312"/>
        <w:jc w:val="both"/>
      </w:pPr>
      <w:r>
        <w:rPr>
          <w:rFonts w:ascii="Georgia"/>
          <w:color w:val="1F2A29"/>
          <w:sz w:val="22"/>
          <w:szCs w:val="22"/>
        </w:rPr>
        <w:t xml:space="preserve">The risk score is deliberately not a machine-learning output. It is the sum of weighted, human-readable rules evaluated against extraction findings, capped at 100, and banded LOW (0-30), MEDIUM (31-60) and HIGH (61-100). Because the rules live in a configuration file (ml/configs/clauses.json), weights and bands are data that can be reviewed and tuned without touching code. The maximum reachable score under the current rule set is 89.</w:t>
      </w:r>
    </w:p>
    <w:p>
      <w:pPr>
        <w:pStyle w:val="Heading2"/>
        <w:keepNext/>
        <w:spacing w:after="140" w:before="280" w:line="320" w:lineRule="atLeast"/>
      </w:pPr>
      <w:bookmarkStart w:id="100027" w:name="_Toc100027"/>
      <w:r>
        <w:rPr>
          <w:rFonts w:ascii="Segoe UI"/>
          <w:b/>
          <w:bCs/>
          <w:color w:val="0E4F47"/>
          <w:sz w:val="26"/>
          <w:szCs w:val="26"/>
        </w:rPr>
        <w:t xml:space="preserve">5.2 Rule Catalog</w:t>
      </w:r>
      <w:bookmarkEnd w:id="100027"/>
    </w:p>
    <w:tbl>
      <w:tblPr>
        <w:tblW w:type="pct" w:w="100%"/>
        <w:tblBorders>
          <w:top w:val="single" w:color="D3E2DE" w:sz="2"/>
          <w:left w:val="single" w:color="D3E2DE" w:sz="2"/>
          <w:bottom w:val="single" w:color="D3E2DE" w:sz="2"/>
          <w:right w:val="single" w:color="D3E2DE" w:sz="2"/>
          <w:insideH w:val="single" w:color="D3E2DE" w:sz="2"/>
          <w:insideV w:val="none" w:color="auto" w:sz="0"/>
        </w:tblBorders>
        <w:tblLayout w:type="fixed"/>
      </w:tblPr>
      <w:tblGrid>
        <w:gridCol w:w="6866"/>
        <w:gridCol w:w="1400"/>
        <w:gridCol w:w="1600"/>
      </w:tblGrid>
      <w:tr>
        <w:trPr>
          <w:cantSplit/>
          <w:tblHeader/>
        </w:trPr>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Rule</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Weight</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Severity</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NON_COMPETE_PRESENT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18</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HIGH</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EXCLUSIVITY_PRESENT</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15</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HIGH</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CAP_ON_LIABILITY_ABSENT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12</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MEDIUM</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AUTO_RENEWAL_LANGUAGE (regex)</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10</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MEDIUM</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TERMINATION_CONVENIENCE_ABSENT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10</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MEDIUM</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ANTI_ASSIGNMENT_RESTRICTIVE</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8</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MEDIUM</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RENEWAL_TERM_PRESENT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5</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LOW</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INSURANCE_REQUIREMENT_PRESENT</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4</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LOW</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AUDIT_RIGHTS_PRESENT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4</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LOW</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ANTI_ASSIGNMENT_PRESENT</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3</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LOW</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5 informational rules (parties, dates, governing law, license, document name)</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0</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INFO</w:t>
            </w:r>
          </w:p>
        </w:tc>
      </w:tr>
    </w:tbl>
    <w:p>
      <w:pPr>
        <w:spacing w:after="60"/>
      </w:pPr>
    </w:p>
    <w:p>
      <w:pPr>
        <w:pStyle w:val="Heading2"/>
        <w:keepNext/>
        <w:spacing w:after="140" w:before="280" w:line="320" w:lineRule="atLeast"/>
      </w:pPr>
      <w:bookmarkStart w:id="100028" w:name="_Toc100028"/>
      <w:r>
        <w:rPr>
          <w:rFonts w:ascii="Segoe UI"/>
          <w:b/>
          <w:bCs/>
          <w:color w:val="0E4F47"/>
          <w:sz w:val="26"/>
          <w:szCs w:val="26"/>
        </w:rPr>
        <w:t xml:space="preserve">5.3 Confidence Gate</w:t>
      </w:r>
      <w:bookmarkEnd w:id="100028"/>
    </w:p>
    <w:p>
      <w:pPr>
        <w:spacing w:after="120" w:line="312"/>
        <w:jc w:val="both"/>
      </w:pPr>
      <w:r>
        <w:rPr>
          <w:rFonts w:ascii="Georgia"/>
          <w:color w:val="1F2A29"/>
          <w:sz w:val="22"/>
          <w:szCs w:val="22"/>
        </w:rPr>
        <w:t xml:space="preserve">A rule only contributes its weight when the underlying extraction confidence is at least 0.5; below that threshold the finding is marked uncertain, shown distinctly in the UI, and excluded from the score. This keeps the number stable against weak model output and is the concrete mechanism separating AI confidence from risk.</w:t>
      </w:r>
    </w:p>
    <w:p>
      <w:pPr>
        <w:pStyle w:val="Heading2"/>
        <w:keepNext/>
        <w:spacing w:after="140" w:before="280" w:line="320" w:lineRule="atLeast"/>
      </w:pPr>
      <w:bookmarkStart w:id="100029" w:name="_Toc100029"/>
      <w:r>
        <w:rPr>
          <w:rFonts w:ascii="Segoe UI"/>
          <w:b/>
          <w:bCs/>
          <w:color w:val="0E4F47"/>
          <w:sz w:val="26"/>
          <w:szCs w:val="26"/>
        </w:rPr>
        <w:t xml:space="preserve">5.4 Worked Example</w:t>
      </w:r>
      <w:bookmarkEnd w:id="100029"/>
    </w:p>
    <w:p>
      <w:pPr>
        <w:keepLines/>
        <w:spacing w:after="120" w:line="312"/>
        <w:jc w:val="both"/>
      </w:pPr>
      <w:r>
        <w:rPr>
          <w:rFonts w:ascii="Georgia"/>
          <w:color w:val="1F2A29"/>
          <w:sz w:val="22"/>
          <w:szCs w:val="22"/>
        </w:rPr>
        <w:t xml:space="preserve">A 3,649-character master services agreement with non-compete, exclusivity and evergreen-renewal language scores 67 (HIGH): +18 non-compete, +15 exclusivity, +10 auto-renewal, +8 anti-assignment, +5 renewal term, +4 insurance, +4 audit rights and +3 anti-assignment. Every contribution is listed with its evidence, so a reviewer can contest any single line item.</w:t>
      </w:r>
    </w:p>
    <w:p>
      <w:pPr>
        <w:keepLines/>
        <w:spacing w:after="120" w:line="312"/>
        <w:jc w:val="both"/>
      </w:pPr>
      <w:r>
        <w:rPr>
          <w:rFonts w:ascii="Georgia"/>
          <w:color w:val="1F2A29"/>
          <w:sz w:val="22"/>
          <w:szCs w:val="22"/>
        </w:rPr>
        <w:t xml:space="preserve">The full finding list from that analysis, exactly as stored and displayed:</w:t>
      </w:r>
    </w:p>
    <w:tbl>
      <w:tblPr>
        <w:tblW w:type="pct" w:w="100%"/>
        <w:tblBorders>
          <w:top w:val="single" w:color="D3E2DE" w:sz="2"/>
          <w:left w:val="single" w:color="D3E2DE" w:sz="2"/>
          <w:bottom w:val="single" w:color="D3E2DE" w:sz="2"/>
          <w:right w:val="single" w:color="D3E2DE" w:sz="2"/>
          <w:insideH w:val="single" w:color="D3E2DE" w:sz="2"/>
          <w:insideV w:val="none" w:color="auto" w:sz="0"/>
        </w:tblBorders>
        <w:tblLayout w:type="fixed"/>
      </w:tblPr>
      <w:tblGrid>
        <w:gridCol w:w="4600"/>
        <w:gridCol w:w="1300"/>
        <w:gridCol w:w="1500"/>
        <w:gridCol w:w="2466"/>
      </w:tblGrid>
      <w:tr>
        <w:trPr>
          <w:cantSplit/>
          <w:tblHeader/>
        </w:trPr>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Rule fired</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Weight</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Severity</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Extraction confidence</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NON_COMPETE_PRESENT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18</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HIGH</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0.85</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EXCLUSIVITY_PRESENT</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15</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HIGH</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0.88</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AUTO_RENEWAL_LANGUAGE (regex)</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10</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MEDIUM</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0.97</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ANTI_ASSIGNMENT_RESTRICTIVE</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8</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MEDIUM</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0.98</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RENEWAL_TERM_PRESENT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5</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LOW</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0.97</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INSURANCE_REQUIREMENT_PRESENT</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4</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LOW</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0.81</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AUDIT_RIGHTS_PRESENT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4</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LOW</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0.98</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ANTI_ASSIGNMENT_PRESENT</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3</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LOW</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0.98</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PARTIES_IDENTIFIED (uncertain)</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0</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INFO</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0.15 - excluded from score</w:t>
            </w:r>
          </w:p>
        </w:tc>
      </w:tr>
    </w:tbl>
    <w:p>
      <w:pPr>
        <w:spacing w:after="60"/>
      </w:pPr>
    </w:p>
    <w:p>
      <w:pPr>
        <w:pStyle w:val="Heading1"/>
        <w:pageBreakBefore/>
        <w:spacing w:after="200" w:before="360" w:line="380" w:lineRule="atLeast"/>
      </w:pPr>
      <w:bookmarkStart w:id="100030" w:name="_Toc100030"/>
      <w:r>
        <w:rPr>
          <w:rFonts w:ascii="Segoe UI"/>
          <w:b/>
          <w:bCs/>
          <w:color w:val="0E4F47"/>
          <w:sz w:val="34"/>
          <w:szCs w:val="34"/>
        </w:rPr>
        <w:t xml:space="preserve">6. Backend API</w:t>
      </w:r>
      <w:bookmarkEnd w:id="100030"/>
    </w:p>
    <w:p>
      <w:pPr>
        <w:pStyle w:val="Heading2"/>
        <w:keepNext/>
        <w:spacing w:after="140" w:before="280" w:line="320" w:lineRule="atLeast"/>
      </w:pPr>
      <w:bookmarkStart w:id="100031" w:name="_Toc100031"/>
      <w:r>
        <w:rPr>
          <w:rFonts w:ascii="Segoe UI"/>
          <w:b/>
          <w:bCs/>
          <w:color w:val="0E4F47"/>
          <w:sz w:val="26"/>
          <w:szCs w:val="26"/>
        </w:rPr>
        <w:t xml:space="preserve">6.1 Endpoint Reference</w:t>
      </w:r>
      <w:bookmarkEnd w:id="100031"/>
    </w:p>
    <w:tbl>
      <w:tblPr>
        <w:tblW w:type="pct" w:w="100%"/>
        <w:tblBorders>
          <w:top w:val="single" w:color="D3E2DE" w:sz="2"/>
          <w:left w:val="single" w:color="D3E2DE" w:sz="2"/>
          <w:bottom w:val="single" w:color="D3E2DE" w:sz="2"/>
          <w:right w:val="single" w:color="D3E2DE" w:sz="2"/>
          <w:insideH w:val="single" w:color="D3E2DE" w:sz="2"/>
          <w:insideV w:val="none" w:color="auto" w:sz="0"/>
        </w:tblBorders>
        <w:tblLayout w:type="fixed"/>
      </w:tblPr>
      <w:tblGrid>
        <w:gridCol w:w="1100"/>
        <w:gridCol w:w="3900"/>
        <w:gridCol w:w="4866"/>
      </w:tblGrid>
      <w:tr>
        <w:trPr>
          <w:cantSplit/>
          <w:tblHeader/>
        </w:trPr>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Method</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Path</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Purpose</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GET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/api/health</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Service, database and model status (state, device, version)</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POST</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/api/contracts/upload</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Multipart upload; validate, parse, persist (201)</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GET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/api/contracts</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List with search, status/risk filters, sorting, pagination</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GET</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/api/contracts/{id}</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Contract metadata plus latest analysis summary</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GET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/api/contracts/{id}/text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Raw parsed text for evidence highlighting</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POST</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/api/contracts/{id}/analyze</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Run extraction and risk scoring; idempotent; 409 if busy</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GET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/api/contracts/{id}/analysis</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Full latest analysis: clauses, evidence, findings</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DELETE</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/api/contracts/{id}</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Delete contract, analyses and stored file</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GET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/api/analyses/{id}</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Fetch a specific analysis</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GET</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/api/stats</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Dashboard totals, risk distribution, average processing time</w:t>
            </w:r>
          </w:p>
        </w:tc>
      </w:tr>
    </w:tbl>
    <w:p>
      <w:pPr>
        <w:spacing w:after="60"/>
      </w:pPr>
    </w:p>
    <w:p>
      <w:pPr>
        <w:pStyle w:val="Heading2"/>
        <w:keepNext/>
        <w:spacing w:after="140" w:before="280" w:line="320" w:lineRule="atLeast"/>
      </w:pPr>
      <w:bookmarkStart w:id="100032" w:name="_Toc100032"/>
      <w:r>
        <w:rPr>
          <w:rFonts w:ascii="Segoe UI"/>
          <w:b/>
          <w:bCs/>
          <w:color w:val="0E4F47"/>
          <w:sz w:val="26"/>
          <w:szCs w:val="26"/>
        </w:rPr>
        <w:t xml:space="preserve">6.2 Schemas and Error Envelope</w:t>
      </w:r>
      <w:bookmarkEnd w:id="100032"/>
    </w:p>
    <w:p>
      <w:pPr>
        <w:spacing w:after="120" w:line="312"/>
        <w:jc w:val="both"/>
      </w:pPr>
      <w:r>
        <w:rPr>
          <w:rFonts w:ascii="Georgia"/>
          <w:color w:val="1F2A29"/>
          <w:sz w:val="22"/>
          <w:szCs w:val="22"/>
        </w:rPr>
        <w:t xml:space="preserve">Responses are Pydantic-validated. Every error returns a consistent envelope {error, message, request_id}; the request ID is also attached as an X-Request-ID response header by middleware, which makes support and log correlation straightforward. The frontend maps error codes to friendly, actionable messages.</w:t>
      </w:r>
    </w:p>
    <w:p>
      <w:pPr>
        <w:pStyle w:val="Heading2"/>
        <w:keepNext/>
        <w:spacing w:after="140" w:before="280" w:line="320" w:lineRule="atLeast"/>
      </w:pPr>
      <w:bookmarkStart w:id="100033" w:name="_Toc100033"/>
      <w:r>
        <w:rPr>
          <w:rFonts w:ascii="Segoe UI"/>
          <w:b/>
          <w:bCs/>
          <w:color w:val="0E4F47"/>
          <w:sz w:val="26"/>
          <w:szCs w:val="26"/>
        </w:rPr>
        <w:t xml:space="preserve">6.3 Security Measures</w:t>
      </w:r>
      <w:bookmarkEnd w:id="100033"/>
    </w:p>
    <w:p>
      <w:pPr>
        <w:spacing w:after="80" w:line="312"/>
      </w:pPr>
      <w:r>
        <w:rPr>
          <w:rFonts w:ascii="Georgia"/>
          <w:b/>
          <w:bCs/>
          <w:color w:val="1F2A29"/>
          <w:sz w:val="22"/>
          <w:szCs w:val="22"/>
        </w:rPr>
        <w:t xml:space="preserve">Upload validation: — </w:t>
      </w:r>
      <w:r>
        <w:rPr>
          <w:rFonts w:ascii="Georgia"/>
          <w:color w:val="1F2A29"/>
          <w:sz w:val="22"/>
          <w:szCs w:val="22"/>
        </w:rPr>
        <w:t xml:space="preserve">extension and MIME checks, 20 MB size cap, text re-parse validation; corrupt, encrypted and scanned files are rejected with typed errors.</w:t>
      </w:r>
    </w:p>
    <w:p>
      <w:pPr>
        <w:spacing w:after="80" w:line="312"/>
      </w:pPr>
      <w:r>
        <w:rPr>
          <w:rFonts w:ascii="Georgia"/>
          <w:b/>
          <w:bCs/>
          <w:color w:val="1F2A29"/>
          <w:sz w:val="22"/>
          <w:szCs w:val="22"/>
        </w:rPr>
        <w:t xml:space="preserve">Path safety: — </w:t>
      </w:r>
      <w:r>
        <w:rPr>
          <w:rFonts w:ascii="Georgia"/>
          <w:color w:val="1F2A29"/>
          <w:sz w:val="22"/>
          <w:szCs w:val="22"/>
        </w:rPr>
        <w:t xml:space="preserve">user-supplied filenames are never used as paths; uploads are stored as UUID names; filenames are sanitised against traversal.</w:t>
      </w:r>
    </w:p>
    <w:p>
      <w:pPr>
        <w:spacing w:after="80" w:line="312"/>
      </w:pPr>
      <w:r>
        <w:rPr>
          <w:rFonts w:ascii="Georgia"/>
          <w:b/>
          <w:bCs/>
          <w:color w:val="1F2A29"/>
          <w:sz w:val="22"/>
          <w:szCs w:val="22"/>
        </w:rPr>
        <w:t xml:space="preserve">Log privacy: — </w:t>
      </w:r>
      <w:r>
        <w:rPr>
          <w:rFonts w:ascii="Georgia"/>
          <w:color w:val="1F2A29"/>
          <w:sz w:val="22"/>
          <w:szCs w:val="22"/>
        </w:rPr>
        <w:t xml:space="preserve">contract text is never logged; logs carry structured events and IDs only; CORS is restricted to the local frontend origin.</w:t>
      </w:r>
    </w:p>
    <w:p>
      <w:pPr>
        <w:spacing w:after="80" w:line="312"/>
      </w:pPr>
      <w:r>
        <w:rPr>
          <w:rFonts w:ascii="Georgia"/>
          <w:b/>
          <w:bCs/>
          <w:color w:val="1F2A29"/>
          <w:sz w:val="22"/>
          <w:szCs w:val="22"/>
        </w:rPr>
        <w:t xml:space="preserve">Data minimisation: — </w:t>
      </w:r>
      <w:r>
        <w:rPr>
          <w:rFonts w:ascii="Georgia"/>
          <w:color w:val="1F2A29"/>
          <w:sz w:val="22"/>
          <w:szCs w:val="22"/>
        </w:rPr>
        <w:t xml:space="preserve">raw extracted text is stored only when enabled (default on, needed for highlighting), with a documented toggle; temp files are cleaned on a 24-hour retention policy.</w:t>
      </w:r>
    </w:p>
    <w:p>
      <w:pPr>
        <w:pStyle w:val="Heading2"/>
        <w:keepNext/>
        <w:spacing w:after="140" w:before="280" w:line="320" w:lineRule="atLeast"/>
      </w:pPr>
      <w:bookmarkStart w:id="100034" w:name="_Toc100034"/>
      <w:r>
        <w:rPr>
          <w:rFonts w:ascii="Segoe UI"/>
          <w:b/>
          <w:bCs/>
          <w:color w:val="0E4F47"/>
          <w:sz w:val="26"/>
          <w:szCs w:val="26"/>
        </w:rPr>
        <w:t xml:space="preserve">6.4 Example Requests and Responses</w:t>
      </w:r>
      <w:bookmarkEnd w:id="100034"/>
    </w:p>
    <w:p>
      <w:pPr>
        <w:spacing w:after="120" w:line="312"/>
        <w:jc w:val="both"/>
      </w:pPr>
      <w:r>
        <w:rPr>
          <w:rFonts w:ascii="Georgia"/>
          <w:color w:val="1F2A29"/>
          <w:sz w:val="22"/>
          <w:szCs w:val="22"/>
        </w:rPr>
        <w:t xml:space="preserve">Upload (multipart, field name upload):</w:t>
      </w:r>
    </w:p>
    <w:p>
      <w:pPr>
        <w:spacing w:after="100" w:line="276"/>
        <w:ind w:left="400"/>
      </w:pPr>
      <w:r>
        <w:rPr>
          <w:rFonts w:ascii="Consolas"/>
          <w:color w:val="0E4F47"/>
          <w:sz w:val="18"/>
          <w:szCs w:val="18"/>
        </w:rPr>
        <w:t xml:space="preserve">POST /api/contracts/upload  (file=demo.docx)  -&gt;  201</w:t>
      </w:r>
    </w:p>
    <w:p>
      <w:pPr>
        <w:spacing w:after="160" w:line="276"/>
        <w:ind w:left="400"/>
      </w:pPr>
      <w:r>
        <w:rPr>
          <w:rFonts w:ascii="Consolas"/>
          <w:color w:val="1F2A29"/>
          <w:sz w:val="18"/>
          <w:szCs w:val="18"/>
        </w:rPr>
        <w:t xml:space="preserve">{ "id": "6e60c2ff...", "filename": "demo.docx", "status": "READY", "character_count": 3649 }</w:t>
      </w:r>
    </w:p>
    <w:p>
      <w:pPr>
        <w:spacing w:after="120" w:line="312"/>
        <w:jc w:val="both"/>
      </w:pPr>
      <w:r>
        <w:rPr>
          <w:rFonts w:ascii="Georgia"/>
          <w:color w:val="1F2A29"/>
          <w:sz w:val="22"/>
          <w:szCs w:val="22"/>
        </w:rPr>
        <w:t xml:space="preserve">Analyze (synchronous; the same call is safe to repeat):</w:t>
      </w:r>
    </w:p>
    <w:p>
      <w:pPr>
        <w:spacing w:after="100" w:line="276"/>
        <w:ind w:left="400"/>
      </w:pPr>
      <w:r>
        <w:rPr>
          <w:rFonts w:ascii="Consolas"/>
          <w:color w:val="0E4F47"/>
          <w:sz w:val="18"/>
          <w:szCs w:val="18"/>
        </w:rPr>
        <w:t xml:space="preserve">POST /api/contracts/6e60c2ff.../analyze  -&gt;  200</w:t>
      </w:r>
    </w:p>
    <w:p>
      <w:pPr>
        <w:spacing w:after="160" w:line="276"/>
        <w:ind w:left="400"/>
      </w:pPr>
      <w:r>
        <w:rPr>
          <w:rFonts w:ascii="Consolas"/>
          <w:color w:val="1F2A29"/>
          <w:sz w:val="18"/>
          <w:szCs w:val="18"/>
        </w:rPr>
        <w:t xml:space="preserve">{ "analysis_id": 2, "contract_id": "6e60c2ff...", "status": "COMPLETED" }</w:t>
      </w:r>
    </w:p>
    <w:p>
      <w:pPr>
        <w:spacing w:after="120" w:line="312"/>
        <w:jc w:val="both"/>
      </w:pPr>
      <w:r>
        <w:rPr>
          <w:rFonts w:ascii="Georgia"/>
          <w:color w:val="1F2A29"/>
          <w:sz w:val="22"/>
          <w:szCs w:val="22"/>
        </w:rPr>
        <w:t xml:space="preserve">Fetch the full analysis (abridged response):</w:t>
      </w:r>
    </w:p>
    <w:p>
      <w:pPr>
        <w:spacing w:after="100" w:line="276"/>
        <w:ind w:left="400"/>
      </w:pPr>
      <w:r>
        <w:rPr>
          <w:rFonts w:ascii="Consolas"/>
          <w:color w:val="0E4F47"/>
          <w:sz w:val="18"/>
          <w:szCs w:val="18"/>
        </w:rPr>
        <w:t xml:space="preserve">GET /api/contracts/6e60c2ff.../analysis  -&gt;  200</w:t>
      </w:r>
    </w:p>
    <w:p>
      <w:pPr>
        <w:spacing w:after="160" w:line="276"/>
        <w:ind w:left="400"/>
      </w:pPr>
      <w:r>
        <w:rPr>
          <w:rFonts w:ascii="Consolas"/>
          <w:color w:val="1F2A29"/>
          <w:sz w:val="18"/>
          <w:szCs w:val="18"/>
        </w:rPr>
        <w:t xml:space="preserve">{ "overall_risk": { "score": 67, "level": "HIGH" },</w:t>
      </w:r>
    </w:p>
    <w:p>
      <w:pPr>
        <w:spacing w:after="160" w:line="276"/>
        <w:ind w:left="400"/>
      </w:pPr>
      <w:r>
        <w:rPr>
          <w:rFonts w:ascii="Consolas"/>
          <w:color w:val="1F2A29"/>
          <w:sz w:val="18"/>
          <w:szCs w:val="18"/>
        </w:rPr>
        <w:t xml:space="preserve">  "clauses": [ { "clause_type": "non_compete", "found": true, "confidence": 0.85, "start_char": 1740, "end_char": 2086, "uncertain": false }, ... ] }</w:t>
      </w:r>
    </w:p>
    <w:p>
      <w:pPr>
        <w:spacing w:after="120" w:line="312"/>
        <w:jc w:val="both"/>
      </w:pPr>
      <w:r>
        <w:rPr>
          <w:rFonts w:ascii="Georgia"/>
          <w:color w:val="1F2A29"/>
          <w:sz w:val="22"/>
          <w:szCs w:val="22"/>
        </w:rPr>
        <w:t xml:space="preserve">A typed failure looks like:</w:t>
      </w:r>
    </w:p>
    <w:p>
      <w:pPr>
        <w:spacing w:after="160" w:line="276"/>
        <w:ind w:left="400"/>
      </w:pPr>
      <w:r>
        <w:rPr>
          <w:rFonts w:ascii="Consolas"/>
          <w:color w:val="1F2A29"/>
          <w:sz w:val="18"/>
          <w:szCs w:val="18"/>
        </w:rPr>
        <w:t xml:space="preserve">{ "error": "OCR_REQUIRED", "message": "The PDF has no text layer...", "request_id": "dbb1496526d944b5" }</w:t>
      </w:r>
    </w:p>
    <w:p>
      <w:pPr>
        <w:pStyle w:val="Heading1"/>
        <w:pageBreakBefore/>
        <w:spacing w:after="200" w:before="360" w:line="380" w:lineRule="atLeast"/>
      </w:pPr>
      <w:bookmarkStart w:id="100035" w:name="_Toc100035"/>
      <w:r>
        <w:rPr>
          <w:rFonts w:ascii="Segoe UI"/>
          <w:b/>
          <w:bCs/>
          <w:color w:val="0E4F47"/>
          <w:sz w:val="34"/>
          <w:szCs w:val="34"/>
        </w:rPr>
        <w:t xml:space="preserve">7. Frontend</w:t>
      </w:r>
      <w:bookmarkEnd w:id="100035"/>
    </w:p>
    <w:p>
      <w:pPr>
        <w:pStyle w:val="Heading2"/>
        <w:keepNext/>
        <w:spacing w:after="140" w:before="280" w:line="320" w:lineRule="atLeast"/>
      </w:pPr>
      <w:bookmarkStart w:id="100036" w:name="_Toc100036"/>
      <w:r>
        <w:rPr>
          <w:rFonts w:ascii="Segoe UI"/>
          <w:b/>
          <w:bCs/>
          <w:color w:val="0E4F47"/>
          <w:sz w:val="26"/>
          <w:szCs w:val="26"/>
        </w:rPr>
        <w:t xml:space="preserve">7.1 Pages</w:t>
      </w:r>
      <w:bookmarkEnd w:id="100036"/>
    </w:p>
    <w:tbl>
      <w:tblPr>
        <w:tblW w:type="pct" w:w="100%"/>
        <w:tblBorders>
          <w:top w:val="single" w:color="D3E2DE" w:sz="2"/>
          <w:left w:val="single" w:color="D3E2DE" w:sz="2"/>
          <w:bottom w:val="single" w:color="D3E2DE" w:sz="2"/>
          <w:right w:val="single" w:color="D3E2DE" w:sz="2"/>
          <w:insideH w:val="single" w:color="D3E2DE" w:sz="2"/>
          <w:insideV w:val="none" w:color="auto" w:sz="0"/>
        </w:tblBorders>
        <w:tblLayout w:type="fixed"/>
      </w:tblPr>
      <w:tblGrid>
        <w:gridCol w:w="1500"/>
        <w:gridCol w:w="2300"/>
        <w:gridCol w:w="6066"/>
      </w:tblGrid>
      <w:tr>
        <w:trPr>
          <w:cantSplit/>
          <w:tblHeader/>
        </w:trPr>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Route</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Page</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Content</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Overview</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Hero, portfolio stats, risk constellation ring, recent activity</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/analyze</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New Analysis</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Drag-and-drop upload, honest staged progress animation</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/contracts</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History</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Search, filters, sorting, pagination over past contracts</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/contracts/:id</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Analysis Workspace</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Document viewer with evidence highlights, Risk Orb, clause map, findings</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/intelligence</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Intelligence</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Model status, compute device, risk methodology, disclaimer</w:t>
            </w:r>
          </w:p>
        </w:tc>
      </w:tr>
    </w:tbl>
    <w:p>
      <w:pPr>
        <w:spacing w:after="60"/>
      </w:pPr>
    </w:p>
    <w:p>
      <w:pPr>
        <w:pStyle w:val="Heading2"/>
        <w:keepNext/>
        <w:spacing w:after="140" w:before="280" w:line="320" w:lineRule="atLeast"/>
      </w:pPr>
      <w:bookmarkStart w:id="100037" w:name="_Toc100037"/>
      <w:r>
        <w:rPr>
          <w:rFonts w:ascii="Segoe UI"/>
          <w:b/>
          <w:bCs/>
          <w:color w:val="0E4F47"/>
          <w:sz w:val="26"/>
          <w:szCs w:val="26"/>
        </w:rPr>
        <w:t xml:space="preserve">7.2 Design System and Signature Components</w:t>
      </w:r>
      <w:bookmarkEnd w:id="100037"/>
    </w:p>
    <w:p>
      <w:pPr>
        <w:spacing w:after="120" w:line="312"/>
        <w:jc w:val="both"/>
      </w:pPr>
      <w:r>
        <w:rPr>
          <w:rFonts w:ascii="Georgia"/>
          <w:color w:val="1F2A29"/>
          <w:sz w:val="22"/>
          <w:szCs w:val="22"/>
        </w:rPr>
        <w:t xml:space="preserve">The interface follows a "Fluid Legal Intelligence" design language: an ink-dark base with ivory text, mint/aqua primaries and coral reserved for high risk; serif display typography; glass surfaces and an animated aurora background that respects reduced-motion preferences. Three components carry the experience. The Risk Orb is an animated segmented arc with a numeric readout (never colour alone, exposed with role="img" for assistive technology). The Clause Intelligence Map is a signature SVG showing the contract as a hub with its fifteen clause nodes, keyboard-accessible. The DocumentViewer renders evidence highlights from stored character offsets using highlight-scoped rendering, so even a 197,000-character document produces only a handful of DOM nodes.</w:t>
      </w:r>
    </w:p>
    <w:p>
      <w:pPr>
        <w:spacing w:before="1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240" w:before="80"/>
        <w:jc w:val="center"/>
      </w:pPr>
      <w:r>
        <w:rPr>
          <w:rFonts w:ascii="Segoe UI"/>
          <w:i/>
          <w:iCs/>
          <w:color w:val="5E7370"/>
          <w:sz w:val="18"/>
          <w:szCs w:val="18"/>
        </w:rPr>
        <w:t xml:space="preserve">Figure 1. Analysis workspace: evidence highlighting, Risk Orb (67 - HIGH) and Clause Intelligence Map.</w:t>
      </w:r>
    </w:p>
    <w:p>
      <w:pPr>
        <w:pStyle w:val="Heading2"/>
        <w:keepNext/>
        <w:spacing w:after="140" w:before="280" w:line="320" w:lineRule="atLeast"/>
      </w:pPr>
      <w:bookmarkStart w:id="100038" w:name="_Toc100038"/>
      <w:r>
        <w:rPr>
          <w:rFonts w:ascii="Segoe UI"/>
          <w:b/>
          <w:bCs/>
          <w:color w:val="0E4F47"/>
          <w:sz w:val="26"/>
          <w:szCs w:val="26"/>
        </w:rPr>
        <w:t xml:space="preserve">7.3 State, Data Fetching and Offline Tolerance</w:t>
      </w:r>
      <w:bookmarkEnd w:id="100038"/>
    </w:p>
    <w:p>
      <w:pPr>
        <w:spacing w:after="120" w:line="312"/>
        <w:jc w:val="both"/>
      </w:pPr>
      <w:r>
        <w:rPr>
          <w:rFonts w:ascii="Georgia"/>
          <w:color w:val="1F2A29"/>
          <w:sz w:val="22"/>
          <w:szCs w:val="22"/>
        </w:rPr>
        <w:t xml:space="preserve">State is deliberately plain React hooks - no external store. The API client attaches per-endpoint timeouts via AbortController (15 s fast paths, 60 s uploads, 300 s analyses) and translates typed backend errors into friendly copy. A health hook polls engine status every 30 seconds while online and every 12 seconds while offline, with a manual retry; the UI remains navigable and shows queued-state feedback when the backend is unreachable.</w:t>
      </w:r>
    </w:p>
    <w:p>
      <w:pPr>
        <w:spacing w:before="1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40" w:before="80"/>
        <w:jc w:val="center"/>
      </w:pPr>
      <w:r>
        <w:rPr>
          <w:rFonts w:ascii="Segoe UI"/>
          <w:i/>
          <w:iCs/>
          <w:color w:val="5E7370"/>
          <w:sz w:val="18"/>
          <w:szCs w:val="18"/>
        </w:rPr>
        <w:t xml:space="preserve">Figure 2. Overview dashboard with portfolio statistics and engine status.</w:t>
      </w:r>
    </w:p>
    <w:p>
      <w:pPr>
        <w:spacing w:before="16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240" w:before="80"/>
        <w:jc w:val="center"/>
      </w:pPr>
      <w:r>
        <w:rPr>
          <w:rFonts w:ascii="Segoe UI"/>
          <w:i/>
          <w:iCs/>
          <w:color w:val="5E7370"/>
          <w:sz w:val="18"/>
          <w:szCs w:val="18"/>
        </w:rPr>
        <w:t xml:space="preserve">Figure 3. Intelligence page: model state, compute device and risk methodology shown to the user.</w:t>
      </w:r>
    </w:p>
    <w:p>
      <w:pPr>
        <w:pStyle w:val="Heading1"/>
        <w:pageBreakBefore/>
        <w:spacing w:after="200" w:before="360" w:line="380" w:lineRule="atLeast"/>
      </w:pPr>
      <w:bookmarkStart w:id="100039" w:name="_Toc100039"/>
      <w:r>
        <w:rPr>
          <w:rFonts w:ascii="Segoe UI"/>
          <w:b/>
          <w:bCs/>
          <w:color w:val="0E4F47"/>
          <w:sz w:val="34"/>
          <w:szCs w:val="34"/>
        </w:rPr>
        <w:t xml:space="preserve">8. Deployment and Operations</w:t>
      </w:r>
      <w:bookmarkEnd w:id="100039"/>
    </w:p>
    <w:p>
      <w:pPr>
        <w:pStyle w:val="Heading2"/>
        <w:keepNext/>
        <w:spacing w:after="140" w:before="280" w:line="320" w:lineRule="atLeast"/>
      </w:pPr>
      <w:bookmarkStart w:id="100040" w:name="_Toc100040"/>
      <w:r>
        <w:rPr>
          <w:rFonts w:ascii="Segoe UI"/>
          <w:b/>
          <w:bCs/>
          <w:color w:val="0E4F47"/>
          <w:sz w:val="26"/>
          <w:szCs w:val="26"/>
        </w:rPr>
        <w:t xml:space="preserve">8.1 Production Single-Port Serving</w:t>
      </w:r>
      <w:bookmarkEnd w:id="100040"/>
    </w:p>
    <w:p>
      <w:pPr>
        <w:spacing w:after="120" w:line="312"/>
        <w:jc w:val="both"/>
      </w:pPr>
      <w:r>
        <w:rPr>
          <w:rFonts w:ascii="Georgia"/>
          <w:color w:val="1F2A29"/>
          <w:sz w:val="22"/>
          <w:szCs w:val="22"/>
        </w:rPr>
        <w:t xml:space="preserve">The deployed configuration serves the built React frontend and the API from one FastAPI process. When frontend/dist exists (produced once with npm run build), the application mounts it: hashed assets are served statically and every non-API GET falls back to index.html so single-page deep links such as /contracts/&lt;id&gt; resolve on refresh. Unknown /api paths still return JSON 404s. The production frontend addresses the API with a same-origin base (/api), which makes the built bundle host-agnostic - the identical build works on localhost, a LAN IP, or any port without rebuilding.</w:t>
      </w:r>
    </w:p>
    <w:p>
      <w:pPr>
        <w:pStyle w:val="Heading2"/>
        <w:keepNext/>
        <w:spacing w:after="140" w:before="280" w:line="320" w:lineRule="atLeast"/>
      </w:pPr>
      <w:bookmarkStart w:id="100041" w:name="_Toc100041"/>
      <w:r>
        <w:rPr>
          <w:rFonts w:ascii="Segoe UI"/>
          <w:b/>
          <w:bCs/>
          <w:color w:val="0E4F47"/>
          <w:sz w:val="26"/>
          <w:szCs w:val="26"/>
        </w:rPr>
        <w:t xml:space="preserve">8.2 Launch Modes</w:t>
      </w:r>
      <w:bookmarkEnd w:id="100041"/>
    </w:p>
    <w:tbl>
      <w:tblPr>
        <w:tblW w:type="pct" w:w="100%"/>
        <w:tblBorders>
          <w:top w:val="single" w:color="D3E2DE" w:sz="2"/>
          <w:left w:val="single" w:color="D3E2DE" w:sz="2"/>
          <w:bottom w:val="single" w:color="D3E2DE" w:sz="2"/>
          <w:right w:val="single" w:color="D3E2DE" w:sz="2"/>
          <w:insideH w:val="single" w:color="D3E2DE" w:sz="2"/>
          <w:insideV w:val="none" w:color="auto" w:sz="0"/>
        </w:tblBorders>
        <w:tblLayout w:type="fixed"/>
      </w:tblPr>
      <w:tblGrid>
        <w:gridCol w:w="3400"/>
        <w:gridCol w:w="2200"/>
        <w:gridCol w:w="4266"/>
      </w:tblGrid>
      <w:tr>
        <w:trPr>
          <w:cantSplit/>
          <w:tblHeader/>
        </w:trPr>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Launcher</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Binding</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Use</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run_contractiq_prod.bat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127.0.0.1:8010</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local single-user use; nothing exposed to the network</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run_contractiq_lan.bat</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0.0.0.0:8010</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demo to phones/other laptops on trusted Wi-Fi (no auth - documented caveat)</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run_contractiq.bat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dev servers</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development: Vite hot reload on :5173 + API on :8000</w:t>
            </w:r>
          </w:p>
        </w:tc>
      </w:tr>
    </w:tbl>
    <w:p>
      <w:pPr>
        <w:spacing w:after="60"/>
      </w:pPr>
    </w:p>
    <w:p>
      <w:pPr>
        <w:spacing w:after="120" w:line="312"/>
        <w:jc w:val="both"/>
      </w:pPr>
      <w:r>
        <w:rPr>
          <w:rFonts w:ascii="Georgia"/>
          <w:color w:val="1F2A29"/>
          <w:sz w:val="22"/>
          <w:szCs w:val="22"/>
        </w:rPr>
        <w:t xml:space="preserve">The default production port is 8010 (override via the BACKEND_PORT environment variable). Port 8000 is deliberately avoided as a default because another active project on the development machine occupies it - a collision that repeatedly killed servers during bring-up and motivated both the port choice and the same-origin API design.</w:t>
      </w:r>
    </w:p>
    <w:p>
      <w:pPr>
        <w:pStyle w:val="Heading2"/>
        <w:keepNext/>
        <w:spacing w:after="140" w:before="280" w:line="320" w:lineRule="atLeast"/>
      </w:pPr>
      <w:bookmarkStart w:id="100042" w:name="_Toc100042"/>
      <w:r>
        <w:rPr>
          <w:rFonts w:ascii="Segoe UI"/>
          <w:b/>
          <w:bCs/>
          <w:color w:val="0E4F47"/>
          <w:sz w:val="26"/>
          <w:szCs w:val="26"/>
        </w:rPr>
        <w:t xml:space="preserve">8.3 Operations Notes</w:t>
      </w:r>
      <w:bookmarkEnd w:id="100042"/>
    </w:p>
    <w:p>
      <w:pPr>
        <w:spacing w:after="80" w:line="312"/>
      </w:pPr>
      <w:r>
        <w:rPr>
          <w:rFonts w:ascii="Georgia"/>
          <w:b/>
          <w:bCs/>
          <w:color w:val="1F2A29"/>
          <w:sz w:val="22"/>
          <w:szCs w:val="22"/>
        </w:rPr>
        <w:t xml:space="preserve">Startup: — </w:t>
      </w:r>
      <w:r>
        <w:rPr>
          <w:rFonts w:ascii="Georgia"/>
          <w:color w:val="1F2A29"/>
          <w:sz w:val="22"/>
          <w:szCs w:val="22"/>
        </w:rPr>
        <w:t xml:space="preserve">the server starts in ~10 s; the ML model lazy-loads on first analysis (~30 s once), after which analyses run in seconds (GPU) to a couple of minutes (CPU).</w:t>
      </w:r>
    </w:p>
    <w:p>
      <w:pPr>
        <w:spacing w:after="80" w:line="312"/>
      </w:pPr>
      <w:r>
        <w:rPr>
          <w:rFonts w:ascii="Georgia"/>
          <w:b/>
          <w:bCs/>
          <w:color w:val="1F2A29"/>
          <w:sz w:val="22"/>
          <w:szCs w:val="22"/>
        </w:rPr>
        <w:t xml:space="preserve">State: — </w:t>
      </w:r>
      <w:r>
        <w:rPr>
          <w:rFonts w:ascii="Georgia"/>
          <w:color w:val="1F2A29"/>
          <w:sz w:val="22"/>
          <w:szCs w:val="22"/>
        </w:rPr>
        <w:t xml:space="preserve">state lives entirely in storage/ (SQLite database, uploads, temp). Copying that folder moves the full history; deleting it resets the app.</w:t>
      </w:r>
    </w:p>
    <w:p>
      <w:pPr>
        <w:spacing w:after="80" w:line="312"/>
      </w:pPr>
      <w:r>
        <w:rPr>
          <w:rFonts w:ascii="Georgia"/>
          <w:b/>
          <w:bCs/>
          <w:color w:val="1F2A29"/>
          <w:sz w:val="22"/>
          <w:szCs w:val="22"/>
        </w:rPr>
        <w:t xml:space="preserve">Portability: — </w:t>
      </w:r>
      <w:r>
        <w:rPr>
          <w:rFonts w:ascii="Georgia"/>
          <w:color w:val="1F2A29"/>
          <w:sz w:val="22"/>
          <w:szCs w:val="22"/>
        </w:rPr>
        <w:t xml:space="preserve">the folder was verified to run from a fresh copy at a path containing spaces, with zero hardcoded machine paths (150-file scan).</w:t>
      </w:r>
    </w:p>
    <w:p>
      <w:pPr>
        <w:spacing w:after="80" w:line="312"/>
      </w:pPr>
      <w:r>
        <w:rPr>
          <w:rFonts w:ascii="Georgia"/>
          <w:b/>
          <w:bCs/>
          <w:color w:val="1F2A29"/>
          <w:sz w:val="22"/>
          <w:szCs w:val="22"/>
        </w:rPr>
        <w:t xml:space="preserve">Driver mismatch: — </w:t>
      </w:r>
      <w:r>
        <w:rPr>
          <w:rFonts w:ascii="Georgia"/>
          <w:color w:val="1F2A29"/>
          <w:sz w:val="22"/>
          <w:szCs w:val="22"/>
        </w:rPr>
        <w:t xml:space="preserve">with the CUDA torch build installed but an older NVIDIA driver present, the app detects the mismatch and serves on CPU instead of crashing (Section 4.8).</w:t>
      </w:r>
    </w:p>
    <w:p>
      <w:pPr>
        <w:pStyle w:val="Heading1"/>
        <w:pageBreakBefore/>
        <w:spacing w:after="200" w:before="360" w:line="380" w:lineRule="atLeast"/>
      </w:pPr>
      <w:bookmarkStart w:id="100043" w:name="_Toc100043"/>
      <w:r>
        <w:rPr>
          <w:rFonts w:ascii="Segoe UI"/>
          <w:b/>
          <w:bCs/>
          <w:color w:val="0E4F47"/>
          <w:sz w:val="34"/>
          <w:szCs w:val="34"/>
        </w:rPr>
        <w:t xml:space="preserve">9. Quality Assurance</w:t>
      </w:r>
      <w:bookmarkEnd w:id="100043"/>
    </w:p>
    <w:p>
      <w:pPr>
        <w:pStyle w:val="Heading2"/>
        <w:keepNext/>
        <w:spacing w:after="140" w:before="280" w:line="320" w:lineRule="atLeast"/>
      </w:pPr>
      <w:bookmarkStart w:id="100044" w:name="_Toc100044"/>
      <w:r>
        <w:rPr>
          <w:rFonts w:ascii="Segoe UI"/>
          <w:b/>
          <w:bCs/>
          <w:color w:val="0E4F47"/>
          <w:sz w:val="26"/>
          <w:szCs w:val="26"/>
        </w:rPr>
        <w:t xml:space="preserve">9.1 Test Inventory</w:t>
      </w:r>
      <w:bookmarkEnd w:id="100044"/>
    </w:p>
    <w:tbl>
      <w:tblPr>
        <w:tblW w:type="pct" w:w="100%"/>
        <w:tblBorders>
          <w:top w:val="single" w:color="D3E2DE" w:sz="2"/>
          <w:left w:val="single" w:color="D3E2DE" w:sz="2"/>
          <w:bottom w:val="single" w:color="D3E2DE" w:sz="2"/>
          <w:right w:val="single" w:color="D3E2DE" w:sz="2"/>
          <w:insideH w:val="single" w:color="D3E2DE" w:sz="2"/>
          <w:insideV w:val="none" w:color="auto" w:sz="0"/>
        </w:tblBorders>
        <w:tblLayout w:type="fixed"/>
      </w:tblPr>
      <w:tblGrid>
        <w:gridCol w:w="3400"/>
        <w:gridCol w:w="5300"/>
        <w:gridCol w:w="1166"/>
      </w:tblGrid>
      <w:tr>
        <w:trPr>
          <w:cantSplit/>
          <w:tblHeader/>
        </w:trPr>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Suite</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Coverage</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Result</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pytest (backend, ML, integration)</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Parsers, risk engine, repository, API contract, ML decoding</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186 passed</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vitest (frontend)</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Components and evidence-offset helper logic</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13 passed</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Production build and lint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Vite build, ESLint, TypeScript strict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Clean</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Browser E2E (Playwright)</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22-step real-model flow: upload, analyze, verify</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Passed, 0 page errors</w:t>
            </w:r>
          </w:p>
        </w:tc>
      </w:tr>
    </w:tbl>
    <w:p>
      <w:pPr>
        <w:spacing w:after="60"/>
      </w:pPr>
    </w:p>
    <w:p>
      <w:pPr>
        <w:pStyle w:val="Heading2"/>
        <w:keepNext/>
        <w:spacing w:after="140" w:before="280" w:line="320" w:lineRule="atLeast"/>
      </w:pPr>
      <w:bookmarkStart w:id="100045" w:name="_Toc100045"/>
      <w:r>
        <w:rPr>
          <w:rFonts w:ascii="Segoe UI"/>
          <w:b/>
          <w:bCs/>
          <w:color w:val="0E4F47"/>
          <w:sz w:val="26"/>
          <w:szCs w:val="26"/>
        </w:rPr>
        <w:t xml:space="preserve">9.2 Evidence Invariant</w:t>
      </w:r>
      <w:bookmarkEnd w:id="100045"/>
    </w:p>
    <w:p>
      <w:pPr>
        <w:spacing w:after="120" w:line="312"/>
        <w:jc w:val="both"/>
      </w:pPr>
      <w:r>
        <w:rPr>
          <w:rFonts w:ascii="Georgia"/>
          <w:color w:val="1F2A29"/>
          <w:sz w:val="22"/>
          <w:szCs w:val="22"/>
        </w:rPr>
        <w:t xml:space="preserve">The defining correctness property - that every stored clause span exactly matches the text at those offsets in the served document - was checked across 129 verifications spanning browser checks and database rows from real analyses, with zero mismatches.</w:t>
      </w:r>
    </w:p>
    <w:p>
      <w:pPr>
        <w:pStyle w:val="Heading2"/>
        <w:keepNext/>
        <w:spacing w:after="140" w:before="280" w:line="320" w:lineRule="atLeast"/>
      </w:pPr>
      <w:bookmarkStart w:id="100046" w:name="_Toc100046"/>
      <w:r>
        <w:rPr>
          <w:rFonts w:ascii="Segoe UI"/>
          <w:b/>
          <w:bCs/>
          <w:color w:val="0E4F47"/>
          <w:sz w:val="26"/>
          <w:szCs w:val="26"/>
        </w:rPr>
        <w:t xml:space="preserve">9.3 Defects Found and Fixed in Final QA</w:t>
      </w:r>
      <w:bookmarkEnd w:id="100046"/>
    </w:p>
    <w:p>
      <w:pPr>
        <w:spacing w:after="120" w:line="312"/>
        <w:jc w:val="both"/>
      </w:pPr>
      <w:r>
        <w:rPr>
          <w:rFonts w:ascii="Georgia"/>
          <w:color w:val="1F2A29"/>
          <w:sz w:val="22"/>
          <w:szCs w:val="22"/>
        </w:rPr>
        <w:t xml:space="preserve">The final QA phase surfaced three high-severity defects, all fixed and covered by regression tests: a transaction rollback that swallowed a FAILED status update (leaving contracts stuck as ANALYZING), a foreign-key violation when deleting a contract with analyses under SQLite enforcement, and a missing import on the 409 analysis-in-progress path that raised an unhandled exception.</w:t>
      </w:r>
    </w:p>
    <w:p>
      <w:pPr>
        <w:pStyle w:val="Heading1"/>
        <w:pageBreakBefore/>
        <w:spacing w:after="200" w:before="360" w:line="380" w:lineRule="atLeast"/>
      </w:pPr>
      <w:bookmarkStart w:id="100047" w:name="_Toc100047"/>
      <w:r>
        <w:rPr>
          <w:rFonts w:ascii="Segoe UI"/>
          <w:b/>
          <w:bCs/>
          <w:color w:val="0E4F47"/>
          <w:sz w:val="34"/>
          <w:szCs w:val="34"/>
        </w:rPr>
        <w:t xml:space="preserve">10. Performance</w:t>
      </w:r>
      <w:bookmarkEnd w:id="100047"/>
    </w:p>
    <w:tbl>
      <w:tblPr>
        <w:tblW w:type="pct" w:w="100%"/>
        <w:tblBorders>
          <w:top w:val="single" w:color="D3E2DE" w:sz="2"/>
          <w:left w:val="single" w:color="D3E2DE" w:sz="2"/>
          <w:bottom w:val="single" w:color="D3E2DE" w:sz="2"/>
          <w:right w:val="single" w:color="D3E2DE" w:sz="2"/>
          <w:insideH w:val="single" w:color="D3E2DE" w:sz="2"/>
          <w:insideV w:val="none" w:color="auto" w:sz="0"/>
        </w:tblBorders>
        <w:tblLayout w:type="fixed"/>
      </w:tblPr>
      <w:tblGrid>
        <w:gridCol w:w="5300"/>
        <w:gridCol w:w="4566"/>
      </w:tblGrid>
      <w:tr>
        <w:trPr>
          <w:cantSplit/>
          <w:tblHeader/>
        </w:trPr>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Measurement</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Result</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Model throughput, GPU (RTX 2050, batch 8)</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52.8 windows/s - 11.9x the CPU baseline (4.43 windows/s)</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End-to-end analysis time</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~4-12 s per contract on GPU; ~80 s median on CPU</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Largest live test (197,160 characters)</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16.9 s on GPU</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Upload round-trip / health check</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159 ms / 29 ms</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Cold start to ready</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16 s including model load</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Memory stability</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VRAM flat at 0.141 GB; 0.0 MB RSS growth over 50 requests</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Frontend production bundle</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135 kB gzipped</w:t>
            </w:r>
          </w:p>
        </w:tc>
      </w:tr>
    </w:tbl>
    <w:p>
      <w:pPr>
        <w:spacing w:after="60"/>
      </w:pPr>
    </w:p>
    <w:p>
      <w:pPr>
        <w:pStyle w:val="Heading1"/>
        <w:pageBreakBefore/>
        <w:spacing w:after="200" w:before="360" w:line="380" w:lineRule="atLeast"/>
      </w:pPr>
      <w:bookmarkStart w:id="100048" w:name="_Toc100048"/>
      <w:r>
        <w:rPr>
          <w:rFonts w:ascii="Segoe UI"/>
          <w:b/>
          <w:bCs/>
          <w:color w:val="0E4F47"/>
          <w:sz w:val="34"/>
          <w:szCs w:val="34"/>
        </w:rPr>
        <w:t xml:space="preserve">11. Limitations</w:t>
      </w:r>
      <w:bookmarkEnd w:id="100048"/>
    </w:p>
    <w:p>
      <w:pPr>
        <w:spacing w:after="80" w:line="312"/>
      </w:pPr>
      <w:r>
        <w:rPr>
          <w:rFonts w:ascii="Georgia"/>
          <w:b/>
          <w:bCs/>
          <w:color w:val="1F2A29"/>
          <w:sz w:val="22"/>
          <w:szCs w:val="22"/>
        </w:rPr>
        <w:t xml:space="preserve">Single user: — </w:t>
      </w:r>
      <w:r>
        <w:rPr>
          <w:rFonts w:ascii="Georgia"/>
          <w:color w:val="1F2A29"/>
          <w:sz w:val="22"/>
          <w:szCs w:val="22"/>
        </w:rPr>
        <w:t xml:space="preserve">the application is intentionally single-user and local; there is no authentication layer.</w:t>
      </w:r>
    </w:p>
    <w:p>
      <w:pPr>
        <w:spacing w:after="80" w:line="312"/>
      </w:pPr>
      <w:r>
        <w:rPr>
          <w:rFonts w:ascii="Georgia"/>
          <w:b/>
          <w:bCs/>
          <w:color w:val="1F2A29"/>
          <w:sz w:val="22"/>
          <w:szCs w:val="22"/>
        </w:rPr>
        <w:t xml:space="preserve">No job queue: — </w:t>
      </w:r>
      <w:r>
        <w:rPr>
          <w:rFonts w:ascii="Georgia"/>
          <w:color w:val="1F2A29"/>
          <w:sz w:val="22"/>
          <w:szCs w:val="22"/>
        </w:rPr>
        <w:t xml:space="preserve">analysis is synchronous; the client waits for completion rather than streaming progress from a queue.</w:t>
      </w:r>
    </w:p>
    <w:p>
      <w:pPr>
        <w:spacing w:after="80" w:line="312"/>
      </w:pPr>
      <w:r>
        <w:rPr>
          <w:rFonts w:ascii="Georgia"/>
          <w:b/>
          <w:bCs/>
          <w:color w:val="1F2A29"/>
          <w:sz w:val="22"/>
          <w:szCs w:val="22"/>
        </w:rPr>
        <w:t xml:space="preserve">Heuristic risk: — </w:t>
      </w:r>
      <w:r>
        <w:rPr>
          <w:rFonts w:ascii="Georgia"/>
          <w:color w:val="1F2A29"/>
          <w:sz w:val="22"/>
          <w:szCs w:val="22"/>
        </w:rPr>
        <w:t xml:space="preserve">risk rules encode expert heuristics, not patterns learned from dispute outcomes.</w:t>
      </w:r>
    </w:p>
    <w:p>
      <w:pPr>
        <w:spacing w:after="80" w:line="312"/>
      </w:pPr>
      <w:r>
        <w:rPr>
          <w:rFonts w:ascii="Georgia"/>
          <w:b/>
          <w:bCs/>
          <w:color w:val="1F2A29"/>
          <w:sz w:val="22"/>
          <w:szCs w:val="22"/>
        </w:rPr>
        <w:t xml:space="preserve">No OCR: — </w:t>
      </w:r>
      <w:r>
        <w:rPr>
          <w:rFonts w:ascii="Georgia"/>
          <w:color w:val="1F2A29"/>
          <w:sz w:val="22"/>
          <w:szCs w:val="22"/>
        </w:rPr>
        <w:t xml:space="preserve">scanned PDFs require OCR, which is not implemented; they are rejected with a typed error.</w:t>
      </w:r>
    </w:p>
    <w:p>
      <w:pPr>
        <w:spacing w:after="80" w:line="312"/>
      </w:pPr>
      <w:r>
        <w:rPr>
          <w:rFonts w:ascii="Georgia"/>
          <w:b/>
          <w:bCs/>
          <w:color w:val="1F2A29"/>
          <w:sz w:val="22"/>
          <w:szCs w:val="22"/>
        </w:rPr>
        <w:t xml:space="preserve">Parties weak spot: — </w:t>
      </w:r>
      <w:r>
        <w:rPr>
          <w:rFonts w:ascii="Georgia"/>
          <w:color w:val="1F2A29"/>
          <w:sz w:val="22"/>
          <w:szCs w:val="22"/>
        </w:rPr>
        <w:t xml:space="preserve">multi-entity party spans extract poorly (13.7% F1) under the single-span decoder.</w:t>
      </w:r>
    </w:p>
    <w:p>
      <w:pPr>
        <w:pStyle w:val="Heading1"/>
        <w:pageBreakBefore/>
        <w:spacing w:after="200" w:before="360" w:line="380" w:lineRule="atLeast"/>
      </w:pPr>
      <w:bookmarkStart w:id="100049" w:name="_Toc100049"/>
      <w:r>
        <w:rPr>
          <w:rFonts w:ascii="Segoe UI"/>
          <w:b/>
          <w:bCs/>
          <w:color w:val="0E4F47"/>
          <w:sz w:val="34"/>
          <w:szCs w:val="34"/>
        </w:rPr>
        <w:t xml:space="preserve">12. Future Work</w:t>
      </w:r>
      <w:bookmarkEnd w:id="100049"/>
    </w:p>
    <w:p>
      <w:pPr>
        <w:spacing w:after="80" w:line="312"/>
      </w:pPr>
      <w:r>
        <w:rPr>
          <w:rFonts w:ascii="Georgia"/>
          <w:b/>
          <w:bCs/>
          <w:color w:val="1F2A29"/>
          <w:sz w:val="22"/>
          <w:szCs w:val="22"/>
        </w:rPr>
        <w:t xml:space="preserve">Async pipeline. — </w:t>
      </w:r>
      <w:r>
        <w:rPr>
          <w:rFonts w:ascii="Georgia"/>
          <w:color w:val="1F2A29"/>
          <w:sz w:val="22"/>
          <w:szCs w:val="22"/>
        </w:rPr>
        <w:t xml:space="preserve">move analysis to a background queue with live progress streaming to the UI.</w:t>
      </w:r>
    </w:p>
    <w:p>
      <w:pPr>
        <w:spacing w:after="80" w:line="312"/>
      </w:pPr>
      <w:r>
        <w:rPr>
          <w:rFonts w:ascii="Georgia"/>
          <w:b/>
          <w:bCs/>
          <w:color w:val="1F2A29"/>
          <w:sz w:val="22"/>
          <w:szCs w:val="22"/>
        </w:rPr>
        <w:t xml:space="preserve">OCR support. — </w:t>
      </w:r>
      <w:r>
        <w:rPr>
          <w:rFonts w:ascii="Georgia"/>
          <w:color w:val="1F2A29"/>
          <w:sz w:val="22"/>
          <w:szCs w:val="22"/>
        </w:rPr>
        <w:t xml:space="preserve">add a Tesseract-based OCR stage so scanned contracts enter the same workflow.</w:t>
      </w:r>
    </w:p>
    <w:p>
      <w:pPr>
        <w:spacing w:after="80" w:line="312"/>
      </w:pPr>
      <w:r>
        <w:rPr>
          <w:rFonts w:ascii="Georgia"/>
          <w:b/>
          <w:bCs/>
          <w:color w:val="1F2A29"/>
          <w:sz w:val="22"/>
          <w:szCs w:val="22"/>
        </w:rPr>
        <w:t xml:space="preserve">Learned risk layer. — </w:t>
      </w:r>
      <w:r>
        <w:rPr>
          <w:rFonts w:ascii="Georgia"/>
          <w:color w:val="1F2A29"/>
          <w:sz w:val="22"/>
          <w:szCs w:val="22"/>
        </w:rPr>
        <w:t xml:space="preserve">learn rule weights or a small risk model on top of extracted clause features.</w:t>
      </w:r>
    </w:p>
    <w:p>
      <w:pPr>
        <w:spacing w:after="80" w:line="312"/>
      </w:pPr>
      <w:r>
        <w:rPr>
          <w:rFonts w:ascii="Georgia"/>
          <w:b/>
          <w:bCs/>
          <w:color w:val="1F2A29"/>
          <w:sz w:val="22"/>
          <w:szCs w:val="22"/>
        </w:rPr>
        <w:t xml:space="preserve">Wider coverage. — </w:t>
      </w:r>
      <w:r>
        <w:rPr>
          <w:rFonts w:ascii="Georgia"/>
          <w:color w:val="1F2A29"/>
          <w:sz w:val="22"/>
          <w:szCs w:val="22"/>
        </w:rPr>
        <w:t xml:space="preserve">enable further CUAD clause types (a configuration flag away) and add multi-span decoding for parties.</w:t>
      </w:r>
    </w:p>
    <w:p>
      <w:pPr>
        <w:spacing w:after="80" w:line="312"/>
      </w:pPr>
      <w:r>
        <w:rPr>
          <w:rFonts w:ascii="Georgia"/>
          <w:b/>
          <w:bCs/>
          <w:color w:val="1F2A29"/>
          <w:sz w:val="22"/>
          <w:szCs w:val="22"/>
        </w:rPr>
        <w:t xml:space="preserve">Team mode. — </w:t>
      </w:r>
      <w:r>
        <w:rPr>
          <w:rFonts w:ascii="Georgia"/>
          <w:color w:val="1F2A29"/>
          <w:sz w:val="22"/>
          <w:szCs w:val="22"/>
        </w:rPr>
        <w:t xml:space="preserve">add authentication and a multi-user mode for small teams.</w:t>
      </w:r>
    </w:p>
    <w:p>
      <w:pPr>
        <w:pStyle w:val="Heading1"/>
        <w:pageBreakBefore/>
        <w:spacing w:after="200" w:before="360" w:line="380" w:lineRule="atLeast"/>
      </w:pPr>
      <w:bookmarkStart w:id="100050" w:name="_Toc100050"/>
      <w:r>
        <w:rPr>
          <w:rFonts w:ascii="Segoe UI"/>
          <w:b/>
          <w:bCs/>
          <w:color w:val="0E4F47"/>
          <w:sz w:val="34"/>
          <w:szCs w:val="34"/>
        </w:rPr>
        <w:t xml:space="preserve">13. Conclusion</w:t>
      </w:r>
      <w:bookmarkEnd w:id="100050"/>
    </w:p>
    <w:p>
      <w:pPr>
        <w:spacing w:after="120" w:line="312"/>
        <w:jc w:val="both"/>
      </w:pPr>
      <w:r>
        <w:rPr>
          <w:rFonts w:ascii="Georgia"/>
          <w:color w:val="1F2A29"/>
          <w:sz w:val="22"/>
          <w:szCs w:val="22"/>
        </w:rPr>
        <w:t xml:space="preserve">ContractIQ demonstrates that a focused, well-evaluated extractive QA model - small enough to run on a laptop - can power a genuinely useful contract-review tool when it is wrapped in the engineering that makes its outputs trustworthy: exact evidence offsets, typed failure modes, transparent scoring, and a verification programme that tests the whole chain with the real model. The system is complete against its Phase 1-9 plan with no release blockers, and its honest reporting of weak spots (parties extraction, heuristic risk) defines a concrete, tractable roadmap for the next iteration.</w:t>
      </w:r>
    </w:p>
    <w:p>
      <w:pPr>
        <w:pStyle w:val="Heading1"/>
        <w:pageBreakBefore/>
        <w:spacing w:after="200" w:before="360" w:line="380" w:lineRule="atLeast"/>
      </w:pPr>
      <w:bookmarkStart w:id="100051" w:name="_Toc100051"/>
      <w:r>
        <w:rPr>
          <w:rFonts w:ascii="Segoe UI"/>
          <w:b/>
          <w:bCs/>
          <w:color w:val="0E4F47"/>
          <w:sz w:val="34"/>
          <w:szCs w:val="34"/>
        </w:rPr>
        <w:t xml:space="preserve">References</w:t>
      </w:r>
      <w:bookmarkEnd w:id="100051"/>
    </w:p>
    <w:p>
      <w:pPr>
        <w:spacing w:after="80" w:line="312"/>
        <w:ind w:left="400" w:hanging="400"/>
      </w:pPr>
      <w:r>
        <w:rPr>
          <w:rFonts w:ascii="Georgia"/>
          <w:color w:val="1F2A29"/>
          <w:sz w:val="20"/>
          <w:szCs w:val="20"/>
        </w:rPr>
        <w:t xml:space="preserve">[1] M. Hendrycks, D. Burns, et al., "CUAD: A Comprehensive Legal Contract Review Dataset," The Atticus Project, 2021. https://www.atticusprojectai.org/cuad</w:t>
      </w:r>
    </w:p>
    <w:p>
      <w:pPr>
        <w:spacing w:after="80" w:line="312"/>
        <w:ind w:left="400" w:hanging="400"/>
      </w:pPr>
      <w:r>
        <w:rPr>
          <w:rFonts w:ascii="Georgia"/>
          <w:color w:val="1F2A29"/>
          <w:sz w:val="20"/>
          <w:szCs w:val="20"/>
        </w:rPr>
        <w:t xml:space="preserve">[2] W. Wang, F. Wei, L. Dong, H. Bao, N. Yang, and M. Zhou, "MiniLM: Deep Self-Attention Distillation for Task-Agnostic Compression of Pre-Trained Transformers," NeurIPS, 2020.</w:t>
      </w:r>
    </w:p>
    <w:p>
      <w:pPr>
        <w:spacing w:after="80" w:line="312"/>
        <w:ind w:left="400" w:hanging="400"/>
      </w:pPr>
      <w:r>
        <w:rPr>
          <w:rFonts w:ascii="Georgia"/>
          <w:color w:val="1F2A29"/>
          <w:sz w:val="20"/>
          <w:szCs w:val="20"/>
        </w:rPr>
        <w:t xml:space="preserve">[3] deepset, "minilm-uncased-squad2," Hugging Face model card. https://huggingface.co/deepset/minilm-uncased-squad2</w:t>
      </w:r>
    </w:p>
    <w:p>
      <w:pPr>
        <w:spacing w:after="80" w:line="312"/>
        <w:ind w:left="400" w:hanging="400"/>
      </w:pPr>
      <w:r>
        <w:rPr>
          <w:rFonts w:ascii="Georgia"/>
          <w:color w:val="1F2A29"/>
          <w:sz w:val="20"/>
          <w:szCs w:val="20"/>
        </w:rPr>
        <w:t xml:space="preserve">[4] P. Rajpurkar, R. Jia, and P. Liang, "Know What You Don't Know: Unanswerable Questions for SQuAD," ACL, 2018.</w:t>
      </w:r>
    </w:p>
    <w:p>
      <w:pPr>
        <w:spacing w:after="80" w:line="312"/>
        <w:ind w:left="400" w:hanging="400"/>
      </w:pPr>
      <w:r>
        <w:rPr>
          <w:rFonts w:ascii="Georgia"/>
          <w:color w:val="1F2A29"/>
          <w:sz w:val="20"/>
          <w:szCs w:val="20"/>
        </w:rPr>
        <w:t xml:space="preserve">[5] T. Wolf et al., "Transformers: State-of-the-Art Natural Language Processing," EMNLP System Demonstrations, 2020.</w:t>
      </w:r>
    </w:p>
    <w:p>
      <w:pPr>
        <w:spacing w:after="80" w:line="312"/>
        <w:ind w:left="400" w:hanging="400"/>
      </w:pPr>
      <w:r>
        <w:rPr>
          <w:rFonts w:ascii="Georgia"/>
          <w:color w:val="1F2A29"/>
          <w:sz w:val="20"/>
          <w:szCs w:val="20"/>
        </w:rPr>
        <w:t xml:space="preserve">[6] A. Paszke et al., "PyTorch: An Imperative Style, High-Performance Deep Learning Library," NeurIPS, 2019.</w:t>
      </w:r>
    </w:p>
    <w:p>
      <w:pPr>
        <w:spacing w:after="80" w:line="312"/>
        <w:ind w:left="400" w:hanging="400"/>
      </w:pPr>
      <w:r>
        <w:rPr>
          <w:rFonts w:ascii="Georgia"/>
          <w:color w:val="1F2A29"/>
          <w:sz w:val="20"/>
          <w:szCs w:val="20"/>
        </w:rPr>
        <w:t xml:space="preserve">[7] F. Ramírez, "FastAPI" documentation. https://fastapi.tiangolo.com</w:t>
      </w:r>
    </w:p>
    <w:p>
      <w:pPr>
        <w:spacing w:after="80" w:line="312"/>
        <w:ind w:left="400" w:hanging="400"/>
      </w:pPr>
      <w:r>
        <w:rPr>
          <w:rFonts w:ascii="Georgia"/>
          <w:color w:val="1F2A29"/>
          <w:sz w:val="20"/>
          <w:szCs w:val="20"/>
        </w:rPr>
        <w:t xml:space="preserve">[8] SQLAlchemy 2.0 documentation. https://docs.sqlalchemy.org</w:t>
      </w:r>
    </w:p>
    <w:p>
      <w:pPr>
        <w:spacing w:after="80" w:line="312"/>
        <w:ind w:left="400" w:hanging="400"/>
      </w:pPr>
      <w:r>
        <w:rPr>
          <w:rFonts w:ascii="Georgia"/>
          <w:color w:val="1F2A29"/>
          <w:sz w:val="20"/>
          <w:szCs w:val="20"/>
        </w:rPr>
        <w:t xml:space="preserve">[9] Meta Open Source, "React" documentation. https://react.dev</w:t>
      </w:r>
    </w:p>
    <w:p>
      <w:pPr>
        <w:spacing w:after="80" w:line="312"/>
        <w:ind w:left="400" w:hanging="400"/>
      </w:pPr>
      <w:r>
        <w:rPr>
          <w:rFonts w:ascii="Georgia"/>
          <w:color w:val="1F2A29"/>
          <w:sz w:val="20"/>
          <w:szCs w:val="20"/>
        </w:rPr>
        <w:t xml:space="preserve">[10] E. Youn and Y. Cremer, "Vite" documentation. https://vite.dev</w:t>
      </w:r>
    </w:p>
    <w:p>
      <w:pPr>
        <w:pStyle w:val="Heading1"/>
        <w:pageBreakBefore/>
        <w:spacing w:after="200" w:before="360" w:line="380" w:lineRule="atLeast"/>
      </w:pPr>
      <w:bookmarkStart w:id="100052" w:name="_Toc100052"/>
      <w:r>
        <w:rPr>
          <w:rFonts w:ascii="Segoe UI"/>
          <w:b/>
          <w:bCs/>
          <w:color w:val="0E4F47"/>
          <w:sz w:val="34"/>
          <w:szCs w:val="34"/>
        </w:rPr>
        <w:t xml:space="preserve">Appendix A. Environment and Reproduction</w:t>
      </w:r>
      <w:bookmarkEnd w:id="100052"/>
    </w:p>
    <w:p>
      <w:pPr>
        <w:spacing w:after="120" w:line="312"/>
        <w:jc w:val="both"/>
      </w:pPr>
      <w:r>
        <w:rPr>
          <w:rFonts w:ascii="Georgia"/>
          <w:color w:val="1F2A29"/>
          <w:sz w:val="22"/>
          <w:szCs w:val="22"/>
        </w:rPr>
        <w:t xml:space="preserve">Requirements: Windows 10/11, Python 3.11-3.13, Node.js 20+ (tested on Node 24). Optional: NVIDIA GPU with an up-to-date driver for CUDA inference; CPU-only machines are fully supported.</w:t>
      </w:r>
    </w:p>
    <w:p>
      <w:pPr>
        <w:spacing w:after="60" w:line="300"/>
      </w:pPr>
      <w:r>
        <w:rPr>
          <w:rFonts w:ascii="Segoe UI"/>
          <w:b/>
          <w:bCs/>
          <w:color w:val="1F2A29"/>
          <w:sz w:val="22"/>
          <w:szCs w:val="22"/>
        </w:rPr>
        <w:t xml:space="preserve">Automated setup and launch</w:t>
      </w:r>
    </w:p>
    <w:p>
      <w:pPr>
        <w:spacing w:after="40" w:line="300"/>
        <w:ind w:left="400"/>
      </w:pPr>
      <w:r>
        <w:rPr>
          <w:rFonts w:ascii="Consolas"/>
          <w:color w:val="0E4F47"/>
          <w:sz w:val="19"/>
          <w:szCs w:val="19"/>
        </w:rPr>
        <w:t xml:space="preserve">setup_windows.bat   (creates .venv, installs all dependencies, detects GPU)</w:t>
      </w:r>
    </w:p>
    <w:p>
      <w:pPr>
        <w:spacing w:after="40" w:line="300"/>
        <w:ind w:left="400"/>
      </w:pPr>
      <w:r>
        <w:rPr>
          <w:rFonts w:ascii="Consolas"/>
          <w:color w:val="0E4F47"/>
          <w:sz w:val="19"/>
          <w:szCs w:val="19"/>
        </w:rPr>
        <w:t xml:space="preserve">run_contractiq.bat  (starts backend :8000 and frontend :5173, opens the browser)</w:t>
      </w:r>
    </w:p>
    <w:p>
      <w:pPr>
        <w:spacing w:after="40" w:line="300"/>
        <w:ind w:left="400"/>
      </w:pPr>
      <w:r>
        <w:rPr>
          <w:rFonts w:ascii="Consolas"/>
          <w:color w:val="0E4F47"/>
          <w:sz w:val="19"/>
          <w:szCs w:val="19"/>
        </w:rPr>
        <w:t xml:space="preserve">stop_contractiq.bat (stops both)</w:t>
      </w:r>
    </w:p>
    <w:p>
      <w:pPr>
        <w:spacing w:after="60" w:before="120" w:line="300"/>
      </w:pPr>
      <w:r>
        <w:rPr>
          <w:rFonts w:ascii="Segoe UI"/>
          <w:b/>
          <w:bCs/>
          <w:color w:val="1F2A29"/>
          <w:sz w:val="22"/>
          <w:szCs w:val="22"/>
        </w:rPr>
        <w:t xml:space="preserve">Test commands</w:t>
      </w:r>
    </w:p>
    <w:p>
      <w:pPr>
        <w:spacing w:after="40" w:line="300"/>
        <w:ind w:left="400"/>
      </w:pPr>
      <w:r>
        <w:rPr>
          <w:rFonts w:ascii="Consolas"/>
          <w:color w:val="0E4F47"/>
          <w:sz w:val="19"/>
          <w:szCs w:val="19"/>
        </w:rPr>
        <w:t xml:space="preserve">.venv\Scripts\activate</w:t>
      </w:r>
    </w:p>
    <w:p>
      <w:pPr>
        <w:spacing w:after="40" w:line="300"/>
        <w:ind w:left="400"/>
      </w:pPr>
      <w:r>
        <w:rPr>
          <w:rFonts w:ascii="Consolas"/>
          <w:color w:val="0E4F47"/>
          <w:sz w:val="19"/>
          <w:szCs w:val="19"/>
        </w:rPr>
        <w:t xml:space="preserve">python -m pytest backend\tests ml\tests -q</w:t>
      </w:r>
    </w:p>
    <w:p>
      <w:pPr>
        <w:spacing w:after="40" w:line="300"/>
        <w:ind w:left="400"/>
      </w:pPr>
      <w:r>
        <w:rPr>
          <w:rFonts w:ascii="Consolas"/>
          <w:color w:val="0E4F47"/>
          <w:sz w:val="19"/>
          <w:szCs w:val="19"/>
        </w:rPr>
        <w:t xml:space="preserve">cd frontend &amp;&amp; npm run test &amp;&amp; npm run lint &amp;&amp; npm run build</w:t>
      </w:r>
    </w:p>
    <w:p>
      <w:pPr>
        <w:spacing w:after="60" w:before="120" w:line="300"/>
      </w:pPr>
      <w:r>
        <w:rPr>
          <w:rFonts w:ascii="Segoe UI"/>
          <w:b/>
          <w:bCs/>
          <w:color w:val="1F2A29"/>
          <w:sz w:val="22"/>
          <w:szCs w:val="22"/>
        </w:rPr>
        <w:t xml:space="preserve">Key configuration (all optional, env-prefixed CONTRACTIQ_*)</w:t>
      </w:r>
    </w:p>
    <w:p>
      <w:pPr>
        <w:spacing w:after="40" w:line="300"/>
        <w:ind w:left="400"/>
      </w:pPr>
      <w:r>
        <w:rPr>
          <w:rFonts w:ascii="Consolas"/>
          <w:color w:val="0E4F47"/>
          <w:sz w:val="19"/>
          <w:szCs w:val="19"/>
        </w:rPr>
        <w:t xml:space="preserve">CONTRACTIQ_DB_URL, CONTRACTIQ_UPLOAD_DIR, CONTRACTIQ_TEMP_DIR,</w:t>
      </w:r>
    </w:p>
    <w:p>
      <w:pPr>
        <w:spacing w:after="40" w:line="300"/>
        <w:ind w:left="400"/>
      </w:pPr>
      <w:r>
        <w:rPr>
          <w:rFonts w:ascii="Consolas"/>
          <w:color w:val="0E4F47"/>
          <w:sz w:val="19"/>
          <w:szCs w:val="19"/>
        </w:rPr>
        <w:t xml:space="preserve">CONTRACTIQ_MAX_UPLOAD_MB (default 20), CONTRACTIQ_STORE_RAW_TEXT (default true),</w:t>
      </w:r>
    </w:p>
    <w:p>
      <w:pPr>
        <w:spacing w:after="40" w:line="300"/>
        <w:ind w:left="400"/>
      </w:pPr>
      <w:r>
        <w:rPr>
          <w:rFonts w:ascii="Consolas"/>
          <w:color w:val="0E4F47"/>
          <w:sz w:val="19"/>
          <w:szCs w:val="19"/>
        </w:rPr>
        <w:t xml:space="preserve">CONTRACTIQ_CORS_ORIGINS, CONTRACTIQ_RISK_MIN_CONFIDENCE (default 0.5)</w:t>
      </w:r>
    </w:p>
    <w:p>
      <w:pPr>
        <w:pStyle w:val="Heading1"/>
        <w:pageBreakBefore/>
        <w:spacing w:after="200" w:before="360" w:line="380" w:lineRule="atLeast"/>
      </w:pPr>
      <w:bookmarkStart w:id="100053" w:name="_Toc100053"/>
      <w:r>
        <w:rPr>
          <w:rFonts w:ascii="Segoe UI"/>
          <w:b/>
          <w:bCs/>
          <w:color w:val="0E4F47"/>
          <w:sz w:val="34"/>
          <w:szCs w:val="34"/>
        </w:rPr>
        <w:t xml:space="preserve">Appendix B. Third-Party Notices</w:t>
      </w:r>
      <w:bookmarkEnd w:id="100053"/>
    </w:p>
    <w:tbl>
      <w:tblPr>
        <w:tblW w:type="pct" w:w="100%"/>
        <w:tblBorders>
          <w:top w:val="single" w:color="D3E2DE" w:sz="2"/>
          <w:left w:val="single" w:color="D3E2DE" w:sz="2"/>
          <w:bottom w:val="single" w:color="D3E2DE" w:sz="2"/>
          <w:right w:val="single" w:color="D3E2DE" w:sz="2"/>
          <w:insideH w:val="single" w:color="D3E2DE" w:sz="2"/>
          <w:insideV w:val="none" w:color="auto" w:sz="0"/>
        </w:tblBorders>
        <w:tblLayout w:type="fixed"/>
      </w:tblPr>
      <w:tblGrid>
        <w:gridCol w:w="5200"/>
        <w:gridCol w:w="4666"/>
      </w:tblGrid>
      <w:tr>
        <w:trPr>
          <w:cantSplit/>
          <w:tblHeader/>
        </w:trPr>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Component</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9"/>
                <w:szCs w:val="19"/>
              </w:rPr>
              <w:t xml:space="preserve">License</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CUAD v1 dataset</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CC-BY-4.0 (The Atticus Project)</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deepset/minilm-uncased-squad2</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CC-BY-4.0 (attribution included in ml/models/final)</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PyTorch</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BSD-3-Clause</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Hugging Face Transformers</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Apache-2.0</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scikit-learn</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BSD-3-Clause</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FastAPI, Uvicorn, SQLAlchemy</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MIT</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React, Vite, Tailwind CSS</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MIT</w:t>
            </w:r>
          </w:p>
        </w:tc>
      </w:tr>
      <w:tr>
        <w:trPr>
          <w:cantSplit/>
        </w:trPr>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PyMuPDF</w:t>
            </w:r>
          </w:p>
        </w:tc>
        <w:tc>
          <w:tcPr>
            <w:shd w:fill="EEF5F3"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AGPL-3.0 / commercial dual license</w:t>
            </w:r>
          </w:p>
        </w:tc>
      </w:tr>
      <w:tr>
        <w:trPr>
          <w:cantSplit/>
        </w:trPr>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python-docx</w:t>
            </w:r>
          </w:p>
        </w:tc>
        <w:tc>
          <w:tcPr>
            <w:shd w:fill="FFFFFF" w:val="clear"/>
            <w:tcMar>
              <w:top w:type="dxa" w:w="60"/>
              <w:left w:type="dxa" w:w="110"/>
              <w:bottom w:type="dxa" w:w="60"/>
              <w:right w:type="dxa" w:w="110"/>
            </w:tcMar>
            <w:vAlign w:val="center"/>
          </w:tcPr>
          <w:p>
            <w:pPr>
              <w:spacing w:line="276"/>
              <w:jc w:val="left"/>
            </w:pPr>
            <w:r>
              <w:rPr>
                <w:rFonts w:ascii="Segoe UI"/>
                <w:b w:val="false"/>
                <w:bCs w:val="false"/>
                <w:color w:val="1F2A29"/>
                <w:sz w:val="19"/>
                <w:szCs w:val="19"/>
              </w:rPr>
              <w:t xml:space="preserve">MIT</w:t>
            </w:r>
          </w:p>
        </w:tc>
      </w:tr>
    </w:tbl>
    <w:p>
      <w:pPr>
        <w:spacing w:after="60"/>
      </w:pPr>
    </w:p>
    <w:p>
      <w:pPr>
        <w:spacing w:after="120" w:line="312"/>
        <w:jc w:val="both"/>
      </w:pPr>
      <w:r>
        <w:rPr>
          <w:rFonts w:ascii="Georgia"/>
          <w:color w:val="1F2A29"/>
          <w:sz w:val="22"/>
          <w:szCs w:val="22"/>
        </w:rPr>
        <w:t xml:space="preserve">Full attribution text is reproduced in THIRD_PARTY_NOTICES.md in the project root. The project itself carries no redistribution license; all rights are reserved by the author.</w:t>
      </w:r>
    </w:p>
    <w:p>
      <w:pPr>
        <w:pStyle w:val="Heading1"/>
        <w:pageBreakBefore/>
        <w:spacing w:after="200" w:before="360" w:line="380" w:lineRule="atLeast"/>
      </w:pPr>
      <w:bookmarkStart w:id="100054" w:name="_Toc100054"/>
      <w:r>
        <w:rPr>
          <w:rFonts w:ascii="Segoe UI"/>
          <w:b/>
          <w:bCs/>
          <w:color w:val="0E4F47"/>
          <w:sz w:val="34"/>
          <w:szCs w:val="34"/>
        </w:rPr>
        <w:t xml:space="preserve">Appendix C. Demo Contract Catalog</w:t>
      </w:r>
      <w:bookmarkEnd w:id="100054"/>
    </w:p>
    <w:p>
      <w:pPr>
        <w:keepLines/>
        <w:spacing w:after="120" w:line="312"/>
        <w:jc w:val="both"/>
      </w:pPr>
      <w:r>
        <w:rPr>
          <w:rFonts w:ascii="Georgia"/>
          <w:color w:val="1F2A29"/>
          <w:sz w:val="22"/>
          <w:szCs w:val="22"/>
        </w:rPr>
        <w:t xml:space="preserve">The project ships a presentation kit of 22 synthetic sample agreements (demo_contracts/, DOCX with 5 PDF samples) spanning LOW / MEDIUM / HIGH risk profiles. The folder is presentation material only - the application never reads it, and files enter the app only when manually uploaded. The catalog is generated by demo_contracts/generate_demo_contracts.py and can be extended or regenerated without touching the application.</w:t>
      </w:r>
    </w:p>
    <w:tbl>
      <w:tblPr>
        <w:tblW w:type="pct" w:w="100%"/>
        <w:tblBorders>
          <w:top w:val="single" w:color="D3E2DE" w:sz="2"/>
          <w:left w:val="single" w:color="D3E2DE" w:sz="2"/>
          <w:bottom w:val="single" w:color="D3E2DE" w:sz="2"/>
          <w:right w:val="single" w:color="D3E2DE" w:sz="2"/>
          <w:insideH w:val="single" w:color="D3E2DE" w:sz="2"/>
          <w:insideV w:val="none" w:color="auto" w:sz="0"/>
        </w:tblBorders>
        <w:tblLayout w:type="fixed"/>
      </w:tblPr>
      <w:tblGrid>
        <w:gridCol w:w="900"/>
        <w:gridCol w:w="4800"/>
        <w:gridCol w:w="4166"/>
      </w:tblGrid>
      <w:tr>
        <w:trPr>
          <w:cantSplit/>
          <w:tblHeader/>
        </w:trPr>
        <w:tc>
          <w:tcPr>
            <w:shd w:fill="0E6E63" w:val="clear"/>
            <w:tcMar>
              <w:top w:type="dxa" w:w="60"/>
              <w:left w:type="dxa" w:w="110"/>
              <w:bottom w:type="dxa" w:w="60"/>
              <w:right w:type="dxa" w:w="110"/>
            </w:tcMar>
            <w:vAlign w:val="center"/>
          </w:tcPr>
          <w:p>
            <w:pPr>
              <w:spacing w:line="276"/>
              <w:jc w:val="left"/>
            </w:pPr>
            <w:r>
              <w:rPr>
                <w:rFonts w:ascii="Segoe UI"/>
                <w:b/>
                <w:bCs/>
                <w:color w:val="FFFFFF"/>
                <w:sz w:val="17"/>
                <w:szCs w:val="17"/>
              </w:rPr>
              <w:t xml:space="preserve">File</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7"/>
                <w:szCs w:val="17"/>
              </w:rPr>
              <w:t xml:space="preserve">Agreement type</w:t>
            </w:r>
          </w:p>
        </w:tc>
        <w:tc>
          <w:tcPr>
            <w:shd w:fill="0E6E63" w:val="clear"/>
            <w:tcMar>
              <w:top w:type="dxa" w:w="60"/>
              <w:left w:type="dxa" w:w="110"/>
              <w:bottom w:type="dxa" w:w="60"/>
              <w:right w:type="dxa" w:w="110"/>
            </w:tcMar>
            <w:vAlign w:val="center"/>
          </w:tcPr>
          <w:p>
            <w:pPr>
              <w:spacing w:line="276"/>
              <w:jc w:val="left"/>
            </w:pPr>
            <w:r>
              <w:rPr>
                <w:rFonts w:ascii="Segoe UI"/>
                <w:b/>
                <w:bCs/>
                <w:color w:val="FFFFFF"/>
                <w:sz w:val="17"/>
                <w:szCs w:val="17"/>
              </w:rPr>
              <w:t xml:space="preserve">Intended risk story</w:t>
            </w:r>
          </w:p>
        </w:tc>
      </w:tr>
      <w:tr>
        <w:trPr>
          <w:cantSplit/>
        </w:trPr>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01</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SaaS subscription (.docx + .pdf)</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LOW - friendly terms, cap and insurance present</w:t>
            </w:r>
          </w:p>
        </w:tc>
      </w:tr>
      <w:tr>
        <w:trPr>
          <w:cantSplit/>
        </w:trPr>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02</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Mutual NDA</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LOW - minimal obligations</w:t>
            </w:r>
          </w:p>
        </w:tc>
      </w:tr>
      <w:tr>
        <w:trPr>
          <w:cantSplit/>
        </w:trPr>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03</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Freelance contractor</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LOW - short term, easy exit</w:t>
            </w:r>
          </w:p>
        </w:tc>
      </w:tr>
      <w:tr>
        <w:trPr>
          <w:cantSplit/>
        </w:trPr>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04</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Commercial lease</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MEDIUM - auto-renewal, assignment limits</w:t>
            </w:r>
          </w:p>
        </w:tc>
      </w:tr>
      <w:tr>
        <w:trPr>
          <w:cantSplit/>
        </w:trPr>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05</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Consulting services</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MEDIUM - auto-renewal, soft non-compete</w:t>
            </w:r>
          </w:p>
        </w:tc>
      </w:tr>
      <w:tr>
        <w:trPr>
          <w:cantSplit/>
        </w:trPr>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06</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Exclusive supply / vendor</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MEDIUM - exclusivity, auto-renewal</w:t>
            </w:r>
          </w:p>
        </w:tc>
      </w:tr>
      <w:tr>
        <w:trPr>
          <w:cantSplit/>
        </w:trPr>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07</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Executive employment (.docx + .pdf)</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HIGH - non-compete, no convenience exit</w:t>
            </w:r>
          </w:p>
        </w:tc>
      </w:tr>
      <w:tr>
        <w:trPr>
          <w:cantSplit/>
        </w:trPr>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08</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Exclusive distribution (.docx + .pdf)</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HIGH - non-compete, purchase minimums</w:t>
            </w:r>
          </w:p>
        </w:tc>
      </w:tr>
      <w:tr>
        <w:trPr>
          <w:cantSplit/>
        </w:trPr>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09</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Franchise (.docx + .pdf)</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HIGH - lock-in across most rules</w:t>
            </w:r>
          </w:p>
        </w:tc>
      </w:tr>
      <w:tr>
        <w:trPr>
          <w:cantSplit/>
        </w:trPr>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10</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LLC operating agreement</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MEDIUM - member restraints</w:t>
            </w:r>
          </w:p>
        </w:tc>
      </w:tr>
      <w:tr>
        <w:trPr>
          <w:cantSplit/>
        </w:trPr>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11</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Loan / promissory note</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LOW - standard bank terms</w:t>
            </w:r>
          </w:p>
        </w:tc>
      </w:tr>
      <w:tr>
        <w:trPr>
          <w:cantSplit/>
        </w:trPr>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12</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Enterprise software license</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MEDIUM - auto-renewal, audit</w:t>
            </w:r>
          </w:p>
        </w:tc>
      </w:tr>
      <w:tr>
        <w:trPr>
          <w:cantSplit/>
        </w:trPr>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13</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Joint venture (.docx + .pdf)</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HIGH - non-compete, tech exclusivity</w:t>
            </w:r>
          </w:p>
        </w:tc>
      </w:tr>
      <w:tr>
        <w:trPr>
          <w:cantSplit/>
        </w:trPr>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14</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Non-exclusive reseller</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LOW - easy exit</w:t>
            </w:r>
          </w:p>
        </w:tc>
      </w:tr>
      <w:tr>
        <w:trPr>
          <w:cantSplit/>
        </w:trPr>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15</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Real-estate purchase</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LOW - one-shot, capped liability</w:t>
            </w:r>
          </w:p>
        </w:tc>
      </w:tr>
      <w:tr>
        <w:trPr>
          <w:cantSplit/>
        </w:trPr>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16</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Content creator / influencer</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MEDIUM - category exclusivity</w:t>
            </w:r>
          </w:p>
        </w:tc>
      </w:tr>
      <w:tr>
        <w:trPr>
          <w:cantSplit/>
        </w:trPr>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17</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Toll manufacturing</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MEDIUM - capacity commitment</w:t>
            </w:r>
          </w:p>
        </w:tc>
      </w:tr>
      <w:tr>
        <w:trPr>
          <w:cantSplit/>
        </w:trPr>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18</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University research collaboration</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LOW - academic terms</w:t>
            </w:r>
          </w:p>
        </w:tc>
      </w:tr>
      <w:tr>
        <w:trPr>
          <w:cantSplit/>
        </w:trPr>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19</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Equipment rental</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MEDIUM - auto-renewal, no cap</w:t>
            </w:r>
          </w:p>
        </w:tc>
      </w:tr>
      <w:tr>
        <w:trPr>
          <w:cantSplit/>
        </w:trPr>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20</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GDPR data processing</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LOW - protective, capped</w:t>
            </w:r>
          </w:p>
        </w:tc>
      </w:tr>
      <w:tr>
        <w:trPr>
          <w:cantSplit/>
        </w:trPr>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21</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Event sponsorship (.docx + .pdf)</w:t>
            </w:r>
          </w:p>
        </w:tc>
        <w:tc>
          <w:tcPr>
            <w:shd w:fill="FFFFFF"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HIGH - category exclusivity, no late exit</w:t>
            </w:r>
          </w:p>
        </w:tc>
      </w:tr>
      <w:tr>
        <w:trPr>
          <w:cantSplit/>
        </w:trPr>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22</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Logistics &amp; warehousing</w:t>
            </w:r>
          </w:p>
        </w:tc>
        <w:tc>
          <w:tcPr>
            <w:shd w:fill="EEF5F3" w:val="clear"/>
            <w:tcMar>
              <w:top w:type="dxa" w:w="60"/>
              <w:left w:type="dxa" w:w="110"/>
              <w:bottom w:type="dxa" w:w="60"/>
              <w:right w:type="dxa" w:w="110"/>
            </w:tcMar>
            <w:vAlign w:val="center"/>
          </w:tcPr>
          <w:p>
            <w:pPr>
              <w:spacing w:line="220"/>
              <w:jc w:val="left"/>
            </w:pPr>
            <w:r>
              <w:rPr>
                <w:rFonts w:ascii="Segoe UI"/>
                <w:b w:val="false"/>
                <w:bCs w:val="false"/>
                <w:color w:val="1F2A29"/>
                <w:sz w:val="16"/>
                <w:szCs w:val="16"/>
              </w:rPr>
              <w:t xml:space="preserve">MEDIUM - auto-renewal, low cap</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olor w:val="5E7370"/>
        <w:sz w:val="16"/>
        <w:szCs w:val="16"/>
      </w:rPr>
      <w:t xml:space="preserve">ContractIQ - Technical Report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E2DE" w:sz="2" w:space="4"/>
      </w:pBdr>
      <w:jc w:val="center"/>
    </w:pPr>
    <w:r>
      <w:rPr>
        <w:rFonts w:ascii="Segoe UI"/>
        <w:color w:val="5E7370"/>
        <w:sz w:val="16"/>
        <w:szCs w:val="16"/>
      </w:rPr>
      <w:t xml:space="preserve">ContractIQ - Technical Report   |   </w:t>
    </w:r>
    <w:r>
      <w:rPr>
        <w:rFonts w:ascii="Segoe UI"/>
        <w:color w:val="5E7370"/>
        <w:sz w:val="16"/>
        <w:szCs w:val="16"/>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i/>
        <w:iCs/>
        <w:color w:val="5E7370"/>
        <w:sz w:val="16"/>
        <w:szCs w:val="16"/>
      </w:rPr>
      <w:t xml:space="preserve">AI Contract Intelligence &amp; Risk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olor w:val="1F2A29"/>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d3a23efc86fd21af79014b54fb6a707d8c5aa44a.png"/><Relationship Id="rId11" Type="http://schemas.openxmlformats.org/officeDocument/2006/relationships/image" Target="media/afc2d29b287cae1be3721452469bfa0c27d19ba6.png"/><Relationship Id="rId12" Type="http://schemas.openxmlformats.org/officeDocument/2006/relationships/image" Target="media/8bc2fe69dbd39d22b2c6fd4f03f533edf465376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ContractIQ - AI Contract Intelligence &amp; Risk Analysis: Technical Report</dc:title>
  <dc:creator>ContractIQ</dc:creator>
  <cp:lastModifiedBy>Un-named</cp:lastModifiedBy>
  <cp:revision>1</cp:revision>
  <dcterms:created xsi:type="dcterms:W3CDTF">2026-09-26T18:06:38.415Z</dcterms:created>
  <dcterms:modified xsi:type="dcterms:W3CDTF">2026-09-26T18:06:38.418Z</dcterms:modified>
</cp:coreProperties>
</file>

<file path=docProps/custom.xml><?xml version="1.0" encoding="utf-8"?>
<Properties xmlns="http://schemas.openxmlformats.org/officeDocument/2006/custom-properties" xmlns:vt="http://schemas.openxmlformats.org/officeDocument/2006/docPropsVTypes"/>
</file>