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59EC" w14:textId="45868B72" w:rsidR="009303D9" w:rsidRPr="00E00783" w:rsidRDefault="002B6543" w:rsidP="71BC2284">
      <w:pPr>
        <w:pStyle w:val="papertitle"/>
        <w:spacing w:before="100" w:beforeAutospacing="1" w:after="100" w:afterAutospacing="1"/>
        <w:rPr>
          <w:b/>
          <w:bCs/>
        </w:rPr>
      </w:pPr>
      <w:r>
        <w:rPr>
          <w:b/>
          <w:bCs/>
        </w:rPr>
        <w:t>Pred</w:t>
      </w:r>
      <w:r w:rsidR="00B1483F">
        <w:rPr>
          <w:b/>
          <w:bCs/>
        </w:rPr>
        <w:t>i</w:t>
      </w:r>
      <w:r>
        <w:rPr>
          <w:b/>
          <w:bCs/>
        </w:rPr>
        <w:t xml:space="preserve">cting </w:t>
      </w:r>
      <w:r w:rsidR="00FD1766" w:rsidRPr="00E00783">
        <w:rPr>
          <w:b/>
          <w:bCs/>
        </w:rPr>
        <w:t>food insecurity</w:t>
      </w:r>
      <w:r>
        <w:rPr>
          <w:b/>
          <w:bCs/>
        </w:rPr>
        <w:t xml:space="preserve"> using health and geographical metrics</w:t>
      </w:r>
    </w:p>
    <w:p w14:paraId="35F89850" w14:textId="77777777" w:rsidR="00D7522C" w:rsidRDefault="00D7522C" w:rsidP="00CA4392">
      <w:pPr>
        <w:pStyle w:val="Author"/>
        <w:spacing w:before="100" w:beforeAutospacing="1" w:after="100" w:afterAutospacing="1" w:line="120" w:lineRule="auto"/>
        <w:rPr>
          <w:sz w:val="16"/>
          <w:szCs w:val="16"/>
        </w:rPr>
      </w:pPr>
    </w:p>
    <w:p w14:paraId="192F337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2D5F029" w14:textId="7B6910E0" w:rsidR="001A3B3D" w:rsidRPr="006347CF" w:rsidRDefault="007F4B2D" w:rsidP="005C7964">
      <w:pPr>
        <w:pStyle w:val="Author"/>
        <w:spacing w:before="100" w:beforeAutospacing="1"/>
        <w:rPr>
          <w:sz w:val="18"/>
          <w:szCs w:val="18"/>
        </w:rPr>
        <w:sectPr w:rsidR="001A3B3D" w:rsidRPr="006347CF" w:rsidSect="00C865C0">
          <w:type w:val="continuous"/>
          <w:pgSz w:w="12240" w:h="15840" w:code="1"/>
          <w:pgMar w:top="1080" w:right="893" w:bottom="1440" w:left="893" w:header="720" w:footer="720" w:gutter="0"/>
          <w:cols w:num="3" w:space="216"/>
          <w:docGrid w:linePitch="360"/>
        </w:sectPr>
      </w:pPr>
      <w:r>
        <w:rPr>
          <w:sz w:val="18"/>
          <w:szCs w:val="18"/>
        </w:rPr>
        <w:t>Ana Camargo Sandoval</w:t>
      </w:r>
      <w:r w:rsidR="001A3B3D" w:rsidRPr="00F847A6">
        <w:rPr>
          <w:sz w:val="18"/>
          <w:szCs w:val="18"/>
        </w:rPr>
        <w:t xml:space="preserve"> </w:t>
      </w:r>
      <w:r w:rsidR="001A3B3D" w:rsidRPr="00F847A6">
        <w:rPr>
          <w:sz w:val="18"/>
          <w:szCs w:val="18"/>
        </w:rPr>
        <w:br/>
      </w:r>
      <w:r w:rsidR="00E86AEC">
        <w:rPr>
          <w:sz w:val="18"/>
          <w:szCs w:val="18"/>
        </w:rPr>
        <w:t>The Harold and Inge Marcus</w:t>
      </w:r>
      <w:r w:rsidR="00C522C9">
        <w:rPr>
          <w:sz w:val="18"/>
          <w:szCs w:val="18"/>
        </w:rPr>
        <w:t xml:space="preserve"> </w:t>
      </w:r>
      <w:r w:rsidR="00C522C9">
        <w:rPr>
          <w:sz w:val="18"/>
          <w:szCs w:val="18"/>
        </w:rPr>
        <w:br/>
      </w:r>
      <w:r w:rsidR="00E86AEC">
        <w:rPr>
          <w:sz w:val="18"/>
          <w:szCs w:val="18"/>
        </w:rPr>
        <w:t xml:space="preserve">Department </w:t>
      </w:r>
      <w:r w:rsidR="000B0C5A">
        <w:rPr>
          <w:sz w:val="18"/>
          <w:szCs w:val="18"/>
        </w:rPr>
        <w:t xml:space="preserve">of Industrial and </w:t>
      </w:r>
      <w:r w:rsidR="00C522C9">
        <w:rPr>
          <w:sz w:val="18"/>
          <w:szCs w:val="18"/>
        </w:rPr>
        <w:br/>
      </w:r>
      <w:r w:rsidR="000B0C5A">
        <w:rPr>
          <w:sz w:val="18"/>
          <w:szCs w:val="18"/>
        </w:rPr>
        <w:t>Manufacturing Engineering</w:t>
      </w:r>
      <w:r w:rsidR="00D72D06" w:rsidRPr="00F847A6">
        <w:rPr>
          <w:sz w:val="18"/>
          <w:szCs w:val="18"/>
        </w:rPr>
        <w:br/>
      </w:r>
      <w:r w:rsidR="000B0C5A">
        <w:rPr>
          <w:sz w:val="18"/>
          <w:szCs w:val="18"/>
        </w:rPr>
        <w:t>Penn State University</w:t>
      </w:r>
      <w:r w:rsidR="001A3B3D" w:rsidRPr="00F847A6">
        <w:rPr>
          <w:i/>
          <w:sz w:val="18"/>
          <w:szCs w:val="18"/>
        </w:rPr>
        <w:br/>
      </w:r>
      <w:r w:rsidR="000B0C5A">
        <w:rPr>
          <w:sz w:val="18"/>
          <w:szCs w:val="18"/>
        </w:rPr>
        <w:t>State College, United States</w:t>
      </w:r>
      <w:r w:rsidR="001A3B3D" w:rsidRPr="00F847A6">
        <w:rPr>
          <w:sz w:val="18"/>
          <w:szCs w:val="18"/>
        </w:rPr>
        <w:br/>
      </w:r>
      <w:r w:rsidR="0031747F">
        <w:rPr>
          <w:sz w:val="18"/>
          <w:szCs w:val="18"/>
        </w:rPr>
        <w:t>avc6470@psu.edu</w:t>
      </w:r>
      <w:r w:rsidR="006347CF">
        <w:rPr>
          <w:sz w:val="18"/>
          <w:szCs w:val="18"/>
        </w:rPr>
        <w:br/>
      </w:r>
      <w:r w:rsidR="006347CF">
        <w:rPr>
          <w:sz w:val="18"/>
          <w:szCs w:val="18"/>
        </w:rPr>
        <w:br/>
      </w:r>
      <w:r w:rsidR="00944D15">
        <w:rPr>
          <w:sz w:val="18"/>
          <w:szCs w:val="18"/>
        </w:rPr>
        <w:t>Vinay Saji Mathew</w:t>
      </w:r>
      <w:r w:rsidR="001A3B3D" w:rsidRPr="00F847A6">
        <w:rPr>
          <w:sz w:val="18"/>
          <w:szCs w:val="18"/>
        </w:rPr>
        <w:br/>
      </w:r>
      <w:r w:rsidR="00944D15">
        <w:rPr>
          <w:sz w:val="18"/>
          <w:szCs w:val="18"/>
        </w:rPr>
        <w:t xml:space="preserve">The Harold and Inge Marcus </w:t>
      </w:r>
      <w:r w:rsidR="00C522C9">
        <w:rPr>
          <w:sz w:val="18"/>
          <w:szCs w:val="18"/>
        </w:rPr>
        <w:br/>
      </w:r>
      <w:r w:rsidR="00944D15">
        <w:rPr>
          <w:sz w:val="18"/>
          <w:szCs w:val="18"/>
        </w:rPr>
        <w:t xml:space="preserve">Department of Industrial and </w:t>
      </w:r>
      <w:r w:rsidR="00C522C9">
        <w:rPr>
          <w:sz w:val="18"/>
          <w:szCs w:val="18"/>
        </w:rPr>
        <w:br/>
      </w:r>
      <w:r w:rsidR="00944D15">
        <w:rPr>
          <w:sz w:val="18"/>
          <w:szCs w:val="18"/>
        </w:rPr>
        <w:t>Manufacturing Engineering</w:t>
      </w:r>
      <w:r w:rsidR="00944D15" w:rsidRPr="00F847A6">
        <w:rPr>
          <w:sz w:val="18"/>
          <w:szCs w:val="18"/>
        </w:rPr>
        <w:br/>
      </w:r>
      <w:r w:rsidR="00944D15">
        <w:rPr>
          <w:sz w:val="18"/>
          <w:szCs w:val="18"/>
        </w:rPr>
        <w:t>Penn State University</w:t>
      </w:r>
      <w:r w:rsidR="00944D15" w:rsidRPr="00F847A6">
        <w:rPr>
          <w:i/>
          <w:sz w:val="18"/>
          <w:szCs w:val="18"/>
        </w:rPr>
        <w:br/>
      </w:r>
      <w:r w:rsidR="00944D15">
        <w:rPr>
          <w:sz w:val="18"/>
          <w:szCs w:val="18"/>
        </w:rPr>
        <w:t>State College, United States</w:t>
      </w:r>
      <w:r w:rsidR="001A3B3D" w:rsidRPr="00F847A6">
        <w:rPr>
          <w:sz w:val="18"/>
          <w:szCs w:val="18"/>
        </w:rPr>
        <w:br/>
      </w:r>
      <w:r w:rsidR="00816053">
        <w:rPr>
          <w:sz w:val="18"/>
          <w:szCs w:val="18"/>
        </w:rPr>
        <w:t>vinaysmathew@psu.edu</w:t>
      </w:r>
      <w:r w:rsidR="006347CF">
        <w:rPr>
          <w:sz w:val="18"/>
          <w:szCs w:val="18"/>
        </w:rPr>
        <w:br/>
      </w:r>
      <w:r w:rsidR="006347CF">
        <w:rPr>
          <w:sz w:val="18"/>
          <w:szCs w:val="18"/>
        </w:rPr>
        <w:br/>
      </w:r>
      <w:r w:rsidR="00816053">
        <w:rPr>
          <w:sz w:val="18"/>
          <w:szCs w:val="18"/>
        </w:rPr>
        <w:t>Jyotirmoy Nirupam Das</w:t>
      </w:r>
      <w:r w:rsidR="001A3B3D" w:rsidRPr="00F847A6">
        <w:rPr>
          <w:sz w:val="18"/>
          <w:szCs w:val="18"/>
        </w:rPr>
        <w:br/>
      </w:r>
      <w:r w:rsidR="00816053">
        <w:rPr>
          <w:sz w:val="18"/>
          <w:szCs w:val="18"/>
        </w:rPr>
        <w:t xml:space="preserve">The Harold and Inge Marcus </w:t>
      </w:r>
      <w:r w:rsidR="00C522C9">
        <w:rPr>
          <w:sz w:val="18"/>
          <w:szCs w:val="18"/>
        </w:rPr>
        <w:br/>
      </w:r>
      <w:r w:rsidR="00816053">
        <w:rPr>
          <w:sz w:val="18"/>
          <w:szCs w:val="18"/>
        </w:rPr>
        <w:t xml:space="preserve">Department of Industrial and </w:t>
      </w:r>
      <w:r w:rsidR="00C522C9">
        <w:rPr>
          <w:sz w:val="18"/>
          <w:szCs w:val="18"/>
        </w:rPr>
        <w:br/>
      </w:r>
      <w:r w:rsidR="00816053">
        <w:rPr>
          <w:sz w:val="18"/>
          <w:szCs w:val="18"/>
        </w:rPr>
        <w:t>Manufacturing Engineering</w:t>
      </w:r>
      <w:r w:rsidR="00816053" w:rsidRPr="00F847A6">
        <w:rPr>
          <w:sz w:val="18"/>
          <w:szCs w:val="18"/>
        </w:rPr>
        <w:br/>
      </w:r>
      <w:r w:rsidR="00816053">
        <w:rPr>
          <w:sz w:val="18"/>
          <w:szCs w:val="18"/>
        </w:rPr>
        <w:t>Penn State University</w:t>
      </w:r>
      <w:r w:rsidR="00816053" w:rsidRPr="00F847A6">
        <w:rPr>
          <w:i/>
          <w:sz w:val="18"/>
          <w:szCs w:val="18"/>
        </w:rPr>
        <w:br/>
      </w:r>
      <w:r w:rsidR="00816053">
        <w:rPr>
          <w:sz w:val="18"/>
          <w:szCs w:val="18"/>
        </w:rPr>
        <w:t>State College, United States</w:t>
      </w:r>
      <w:r w:rsidR="001A3B3D" w:rsidRPr="00F847A6">
        <w:rPr>
          <w:sz w:val="18"/>
          <w:szCs w:val="18"/>
        </w:rPr>
        <w:br/>
      </w:r>
      <w:r w:rsidR="00FD1766">
        <w:rPr>
          <w:sz w:val="18"/>
          <w:szCs w:val="18"/>
        </w:rPr>
        <w:t>jfd5895@psu.edu</w:t>
      </w:r>
      <w:r w:rsidR="006347CF">
        <w:rPr>
          <w:sz w:val="18"/>
          <w:szCs w:val="18"/>
        </w:rPr>
        <w:br/>
      </w:r>
    </w:p>
    <w:p w14:paraId="112ABB72" w14:textId="77777777" w:rsidR="006347CF" w:rsidRDefault="006347CF" w:rsidP="00CA4392">
      <w:pPr>
        <w:pStyle w:val="Author"/>
        <w:spacing w:before="100" w:beforeAutospacing="1"/>
        <w:jc w:val="both"/>
        <w:rPr>
          <w:sz w:val="16"/>
          <w:szCs w:val="16"/>
        </w:rPr>
      </w:pPr>
    </w:p>
    <w:p w14:paraId="2F65B771"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C3B3846" w14:textId="305D4309" w:rsidR="004D72B5" w:rsidRDefault="009303D9" w:rsidP="006D156D">
      <w:pPr>
        <w:pStyle w:val="Abstract"/>
        <w:ind w:firstLine="288"/>
        <w:rPr>
          <w:i/>
          <w:iCs/>
        </w:rPr>
      </w:pPr>
      <w:r>
        <w:rPr>
          <w:i/>
          <w:iCs/>
        </w:rPr>
        <w:t>Abstract</w:t>
      </w:r>
      <w:r>
        <w:t>—</w:t>
      </w:r>
      <w:r w:rsidR="00E71A2E">
        <w:t xml:space="preserve">Food insecurity </w:t>
      </w:r>
      <w:r w:rsidR="00C1076B">
        <w:t>has become a trending topic</w:t>
      </w:r>
      <w:r w:rsidR="001D24D4">
        <w:t xml:space="preserve"> that </w:t>
      </w:r>
      <w:r w:rsidR="000C6BE9">
        <w:t>has</w:t>
      </w:r>
      <w:r w:rsidR="001D24D4">
        <w:t xml:space="preserve"> been investigated</w:t>
      </w:r>
      <w:r w:rsidR="00574399">
        <w:t xml:space="preserve"> and analyze</w:t>
      </w:r>
      <w:r w:rsidR="001D24D4">
        <w:t>d</w:t>
      </w:r>
      <w:r w:rsidR="00574399">
        <w:t xml:space="preserve"> using many different techniques. </w:t>
      </w:r>
      <w:r w:rsidR="004B4C59">
        <w:t>Previous research has shown that there is an association between food insecurity and several health metrics</w:t>
      </w:r>
      <w:r w:rsidR="00A75E37">
        <w:t xml:space="preserve">. However, </w:t>
      </w:r>
      <w:r w:rsidR="000C6BE9">
        <w:t>to</w:t>
      </w:r>
      <w:r w:rsidR="0015207B">
        <w:t xml:space="preserve"> what extent could these health metrics estimate </w:t>
      </w:r>
      <w:r w:rsidR="000C6BE9">
        <w:t>food</w:t>
      </w:r>
      <w:r w:rsidR="0015207B">
        <w:t xml:space="preserve"> insecurity </w:t>
      </w:r>
      <w:r w:rsidR="0016021F">
        <w:t xml:space="preserve">is a different approach </w:t>
      </w:r>
      <w:r w:rsidR="00511287">
        <w:t>that is</w:t>
      </w:r>
      <w:r w:rsidR="0016021F">
        <w:t xml:space="preserve"> taken in this paper. </w:t>
      </w:r>
      <w:r w:rsidR="00F70058">
        <w:t>The analysis is done</w:t>
      </w:r>
      <w:r w:rsidR="005264B8">
        <w:t xml:space="preserve"> for </w:t>
      </w:r>
      <w:r w:rsidR="00F70058">
        <w:t xml:space="preserve">two main groups: adults and children, among all </w:t>
      </w:r>
      <w:r w:rsidR="003C7D98">
        <w:t xml:space="preserve">states and counties in the United States. </w:t>
      </w:r>
      <w:r w:rsidR="006B2A2D">
        <w:t xml:space="preserve">As </w:t>
      </w:r>
      <w:r w:rsidR="000C6BE9">
        <w:t>for</w:t>
      </w:r>
      <w:r w:rsidR="00F01761">
        <w:t xml:space="preserve"> the methodology, s</w:t>
      </w:r>
      <w:r w:rsidR="00914C82">
        <w:t xml:space="preserve">everal machine learning techniques are used to </w:t>
      </w:r>
      <w:r w:rsidR="006B2A2D">
        <w:t>conduct this analysis</w:t>
      </w:r>
      <w:r w:rsidR="00F01761">
        <w:t xml:space="preserve"> </w:t>
      </w:r>
      <w:r w:rsidR="006B2A2D">
        <w:t>m</w:t>
      </w:r>
      <w:r w:rsidR="003C7D98">
        <w:t>ulti</w:t>
      </w:r>
      <w:r w:rsidR="00A907A1">
        <w:t xml:space="preserve">variable linear regression, random </w:t>
      </w:r>
      <w:r w:rsidR="000C6BE9">
        <w:t>forests</w:t>
      </w:r>
      <w:r w:rsidR="00C569E7">
        <w:t xml:space="preserve"> and logistic regression</w:t>
      </w:r>
      <w:r w:rsidR="00F01761">
        <w:rPr>
          <w:iCs/>
        </w:rPr>
        <w:t xml:space="preserve">. </w:t>
      </w:r>
      <w:r w:rsidR="00BA63AD">
        <w:rPr>
          <w:iCs/>
        </w:rPr>
        <w:t>Results showed that one can predict food insecurity rate with a root mean squared error of 0.015. Further</w:t>
      </w:r>
      <w:r w:rsidR="00B1483F">
        <w:rPr>
          <w:iCs/>
        </w:rPr>
        <w:t>,</w:t>
      </w:r>
      <w:r w:rsidR="00BA63AD">
        <w:rPr>
          <w:iCs/>
        </w:rPr>
        <w:t xml:space="preserve"> </w:t>
      </w:r>
      <w:r w:rsidR="00B1483F">
        <w:rPr>
          <w:iCs/>
        </w:rPr>
        <w:t>b</w:t>
      </w:r>
      <w:r w:rsidR="00BA63AD">
        <w:rPr>
          <w:iCs/>
        </w:rPr>
        <w:t>y dividing food insecurity into 7 levels one accurately predict</w:t>
      </w:r>
      <w:r w:rsidR="00B1483F">
        <w:rPr>
          <w:iCs/>
        </w:rPr>
        <w:t>s</w:t>
      </w:r>
      <w:r w:rsidR="00BA63AD">
        <w:rPr>
          <w:iCs/>
        </w:rPr>
        <w:t xml:space="preserve"> these levels </w:t>
      </w:r>
      <w:r w:rsidR="00B1483F">
        <w:rPr>
          <w:iCs/>
        </w:rPr>
        <w:t xml:space="preserve">with </w:t>
      </w:r>
      <w:r w:rsidR="00BA63AD">
        <w:rPr>
          <w:iCs/>
        </w:rPr>
        <w:t>up</w:t>
      </w:r>
      <w:r w:rsidR="00B1483F">
        <w:rPr>
          <w:iCs/>
        </w:rPr>
        <w:t xml:space="preserve"> </w:t>
      </w:r>
      <w:r w:rsidR="00BA63AD">
        <w:rPr>
          <w:iCs/>
        </w:rPr>
        <w:t>to 90% accuracy. Along with this</w:t>
      </w:r>
      <w:r w:rsidR="00B1483F">
        <w:rPr>
          <w:iCs/>
        </w:rPr>
        <w:t>,</w:t>
      </w:r>
      <w:r w:rsidR="00BA63AD">
        <w:rPr>
          <w:iCs/>
        </w:rPr>
        <w:t xml:space="preserve"> our paper shows </w:t>
      </w:r>
      <w:r w:rsidR="00B1483F">
        <w:rPr>
          <w:iCs/>
        </w:rPr>
        <w:t>the ma</w:t>
      </w:r>
      <w:r w:rsidR="00BA63AD">
        <w:rPr>
          <w:iCs/>
        </w:rPr>
        <w:t>pping of food insecurity against various disease</w:t>
      </w:r>
      <w:r w:rsidR="00B1483F">
        <w:rPr>
          <w:iCs/>
        </w:rPr>
        <w:t>s</w:t>
      </w:r>
      <w:r w:rsidR="00BA63AD">
        <w:rPr>
          <w:iCs/>
        </w:rPr>
        <w:t xml:space="preserve"> across counties. </w:t>
      </w:r>
      <w:r w:rsidR="00C569E7">
        <w:rPr>
          <w:iCs/>
        </w:rPr>
        <w:t>T</w:t>
      </w:r>
      <w:r w:rsidR="00BA63AD">
        <w:rPr>
          <w:iCs/>
        </w:rPr>
        <w:t xml:space="preserve">hese results </w:t>
      </w:r>
      <w:r w:rsidR="00C569E7">
        <w:rPr>
          <w:iCs/>
        </w:rPr>
        <w:t xml:space="preserve">prove </w:t>
      </w:r>
      <w:r w:rsidR="00BA63AD">
        <w:rPr>
          <w:iCs/>
        </w:rPr>
        <w:t>our hypothesis that ch</w:t>
      </w:r>
      <w:r w:rsidR="00B1483F">
        <w:rPr>
          <w:iCs/>
        </w:rPr>
        <w:t>ro</w:t>
      </w:r>
      <w:r w:rsidR="00BA63AD">
        <w:rPr>
          <w:iCs/>
        </w:rPr>
        <w:t>nic diseases influence</w:t>
      </w:r>
      <w:r w:rsidR="00C569E7">
        <w:rPr>
          <w:iCs/>
        </w:rPr>
        <w:t>s</w:t>
      </w:r>
      <w:r w:rsidR="00BA63AD">
        <w:rPr>
          <w:iCs/>
        </w:rPr>
        <w:t xml:space="preserve"> food insecurity.</w:t>
      </w:r>
    </w:p>
    <w:p w14:paraId="36EAC78C" w14:textId="233FEFCE" w:rsidR="009303D9" w:rsidRPr="004D72B5" w:rsidRDefault="004D72B5" w:rsidP="006D156D">
      <w:pPr>
        <w:pStyle w:val="Keywords"/>
        <w:ind w:firstLine="288"/>
      </w:pPr>
      <w:r w:rsidRPr="004D72B5">
        <w:t>Keywords—</w:t>
      </w:r>
      <w:r w:rsidR="006415FB">
        <w:t xml:space="preserve">food insecurity, </w:t>
      </w:r>
      <w:r w:rsidR="006D4AAD">
        <w:t xml:space="preserve">health metrics, </w:t>
      </w:r>
      <w:r w:rsidR="006415FB">
        <w:t>machine learning</w:t>
      </w:r>
      <w:r w:rsidR="002E3D09">
        <w:t>,</w:t>
      </w:r>
      <w:r w:rsidR="00597846">
        <w:t xml:space="preserve"> prediction model</w:t>
      </w:r>
    </w:p>
    <w:p w14:paraId="67F611E9" w14:textId="72BEAD75" w:rsidR="009303D9" w:rsidRPr="00D632BE" w:rsidRDefault="009303D9" w:rsidP="00DB4FD3">
      <w:pPr>
        <w:pStyle w:val="Heading1"/>
        <w:jc w:val="center"/>
      </w:pPr>
      <w:r w:rsidRPr="00D632BE">
        <w:t>Introduction</w:t>
      </w:r>
    </w:p>
    <w:p w14:paraId="2B69F572" w14:textId="0F39E9A7" w:rsidR="05B87BAF" w:rsidRDefault="05B87BAF" w:rsidP="006D156D">
      <w:pPr>
        <w:pStyle w:val="Default"/>
        <w:ind w:firstLine="288"/>
        <w:jc w:val="both"/>
        <w:rPr>
          <w:sz w:val="20"/>
          <w:szCs w:val="20"/>
        </w:rPr>
      </w:pPr>
      <w:r w:rsidRPr="4E07C312">
        <w:rPr>
          <w:sz w:val="20"/>
          <w:szCs w:val="20"/>
        </w:rPr>
        <w:t xml:space="preserve">Food insecurity can be defined as a lack of access to adequate nutritious food. Food security is quantified by a tedious process in which the Department of Agriculture (USDA) carries out a survey containing 18 questions which are filled by 45,000 households across America [1]. According to the number of affirmative answers to these questions, the households are separated into food insecure and food secure. Food insecurity can be due to several reasons. These reasons can be divided into three major sections: availability, access, and nutritious quality of the available food. Availability can be quantified by locating primary food sources such as farmers' markets, malls, or food banks. Further, the community's median income, poverty levels, and sociodemographic nature can help quantify access. It is difficult to quantify and avail data for the nutrient levels the population consumes; instead, we can quantify this using the different diseases among the different counties. Literature proves a strong correlation between ill health to food insecurity in communities.  </w:t>
      </w:r>
    </w:p>
    <w:p w14:paraId="5392DFB3" w14:textId="77777777" w:rsidR="000A1017" w:rsidRDefault="000A1017" w:rsidP="003E141D">
      <w:pPr>
        <w:pStyle w:val="Default"/>
        <w:jc w:val="both"/>
        <w:rPr>
          <w:sz w:val="20"/>
          <w:szCs w:val="20"/>
        </w:rPr>
      </w:pPr>
    </w:p>
    <w:p w14:paraId="15C01EDA" w14:textId="1DCA6902" w:rsidR="10C93AC5" w:rsidRDefault="10C93AC5" w:rsidP="006D156D">
      <w:pPr>
        <w:pStyle w:val="Default"/>
        <w:ind w:firstLine="288"/>
        <w:jc w:val="both"/>
        <w:rPr>
          <w:sz w:val="20"/>
          <w:szCs w:val="20"/>
        </w:rPr>
      </w:pPr>
      <w:r w:rsidRPr="4E07C312">
        <w:rPr>
          <w:sz w:val="20"/>
          <w:szCs w:val="20"/>
        </w:rPr>
        <w:t xml:space="preserve">Expanding on the idea of food insecurity due to the unavailability of food, we call an area a food desert if it is characterized by a lack of quality &amp; quantity of food for its residents. This would also include a high cost of accessing nutritious food [2]. Studies indicate that urban neighborhoods which might not be thought of as food deserts also have areas where these exist. To classify food </w:t>
      </w:r>
      <w:bookmarkStart w:id="0" w:name="_Int_Otfy4x4s"/>
      <w:r w:rsidRPr="4E07C312">
        <w:rPr>
          <w:sz w:val="20"/>
          <w:szCs w:val="20"/>
        </w:rPr>
        <w:t>deserts</w:t>
      </w:r>
      <w:bookmarkEnd w:id="0"/>
      <w:r w:rsidRPr="4E07C312">
        <w:rPr>
          <w:sz w:val="20"/>
          <w:szCs w:val="20"/>
        </w:rPr>
        <w:t>, we must first identify the different products available in society and classify them as nutritious or problematic. This could be a problem since no single source is sufficient. In contrast, a combination of nutritious foods is generally considered a healthy diet</w:t>
      </w:r>
      <w:r w:rsidR="00C569E7">
        <w:rPr>
          <w:sz w:val="20"/>
          <w:szCs w:val="20"/>
        </w:rPr>
        <w:t xml:space="preserve">. </w:t>
      </w:r>
      <w:r w:rsidRPr="4E07C312">
        <w:rPr>
          <w:sz w:val="20"/>
          <w:szCs w:val="20"/>
        </w:rPr>
        <w:t xml:space="preserve"> </w:t>
      </w:r>
    </w:p>
    <w:p w14:paraId="4B2A7CC6" w14:textId="77777777" w:rsidR="000A1017" w:rsidRDefault="000A1017" w:rsidP="00E403ED">
      <w:pPr>
        <w:pStyle w:val="BodyText"/>
        <w:ind w:firstLine="0"/>
      </w:pPr>
    </w:p>
    <w:p w14:paraId="48A32790" w14:textId="3808CCEA" w:rsidR="4D60E8F4" w:rsidRPr="00C569E7" w:rsidRDefault="4D60E8F4" w:rsidP="006D156D">
      <w:pPr>
        <w:pStyle w:val="BodyText"/>
        <w:rPr>
          <w:lang w:val="en-US"/>
        </w:rPr>
      </w:pPr>
      <w:r>
        <w:t xml:space="preserve">One idea to solve food insecurity is through food aid. These services pretend to be a temporary way to help the most vulnerable food insecure population. One of the most important is food banks, which are large non-profit organizations that collect and distribute food/grocery items to hunger-relief charities [3]. Food banks act as food storage and distribution depots for smaller front-line agencies. As people are relying more and more on food banks as their primary source of food, it is of utmost importance to identify the role of these in regard to food insecurity. One of the biggest concerns is that food banks need to be able to improve food insecurity and supply their clients' nutritional needs. However, it is true that they can indeed reduce at some point food insecurity if appropriately managed. Nevertheless, several obstacles must be considered, such as the increasing demand for clients and donations not being sufficient and appropriate. </w:t>
      </w:r>
      <w:r w:rsidR="00C569E7">
        <w:rPr>
          <w:lang w:val="en-US"/>
        </w:rPr>
        <w:t xml:space="preserve">To help food banks our machine learning model can help them locate high food insecurity areas using health data and thus helping them plan. </w:t>
      </w:r>
    </w:p>
    <w:p w14:paraId="0E6B7B8A" w14:textId="32BADC3B" w:rsidR="009303D9" w:rsidRPr="006B6B66" w:rsidRDefault="00817BF3" w:rsidP="00DB4FD3">
      <w:pPr>
        <w:pStyle w:val="Heading1"/>
        <w:jc w:val="center"/>
      </w:pPr>
      <w:r>
        <w:t>problem definition</w:t>
      </w:r>
      <w:r w:rsidR="00110B56">
        <w:t xml:space="preserve"> and discussion</w:t>
      </w:r>
    </w:p>
    <w:p w14:paraId="20F50E92" w14:textId="1EF6D5FA" w:rsidR="4910D8CA" w:rsidRDefault="006D156D" w:rsidP="4E07C312">
      <w:pPr>
        <w:pStyle w:val="BodyText"/>
        <w:ind w:firstLine="0"/>
        <w:rPr>
          <w:lang w:val="en-US"/>
        </w:rPr>
      </w:pPr>
      <w:r>
        <w:rPr>
          <w:lang w:val="en-US"/>
        </w:rPr>
        <w:tab/>
      </w:r>
      <w:r w:rsidR="4910D8CA" w:rsidRPr="4E07C312">
        <w:rPr>
          <w:lang w:val="en-US"/>
        </w:rPr>
        <w:t xml:space="preserve">Food insecurity has been associated with poor health metrics. A critical part is first to identify which factors strongly correlate with food insecurity among the U.S. population. Also, to find a model that could estimate a potential food insecurity problem in the future based on the health metrics. From these predictors, the population's vulnerability to food insecurity could be determined at the state and county level.  </w:t>
      </w:r>
    </w:p>
    <w:p w14:paraId="05FA4926" w14:textId="573D1AD4" w:rsidR="4910D8CA" w:rsidRDefault="006D156D" w:rsidP="006D156D">
      <w:pPr>
        <w:pStyle w:val="BodyText"/>
        <w:ind w:firstLine="0"/>
      </w:pPr>
      <w:r>
        <w:rPr>
          <w:lang w:val="en-US"/>
        </w:rPr>
        <w:tab/>
      </w:r>
      <w:r w:rsidR="4910D8CA" w:rsidRPr="4E07C312">
        <w:rPr>
          <w:lang w:val="en-US"/>
        </w:rPr>
        <w:t xml:space="preserve">All in all, this </w:t>
      </w:r>
      <w:r w:rsidR="00BA63AD">
        <w:rPr>
          <w:lang w:val="en-US"/>
        </w:rPr>
        <w:t xml:space="preserve">paper </w:t>
      </w:r>
      <w:r w:rsidR="4910D8CA" w:rsidRPr="4E07C312">
        <w:rPr>
          <w:lang w:val="en-US"/>
        </w:rPr>
        <w:t xml:space="preserve">aims to identify critical health factors across the population and develop a </w:t>
      </w:r>
      <w:r w:rsidR="00BA63AD">
        <w:rPr>
          <w:lang w:val="en-US"/>
        </w:rPr>
        <w:t xml:space="preserve">prediction model </w:t>
      </w:r>
      <w:r w:rsidR="4910D8CA" w:rsidRPr="4E07C312">
        <w:rPr>
          <w:lang w:val="en-US"/>
        </w:rPr>
        <w:t xml:space="preserve">at the state </w:t>
      </w:r>
      <w:r w:rsidR="4910D8CA" w:rsidRPr="4E07C312">
        <w:rPr>
          <w:lang w:val="en-US"/>
        </w:rPr>
        <w:lastRenderedPageBreak/>
        <w:t xml:space="preserve">and county level. This </w:t>
      </w:r>
      <w:r w:rsidR="00BA63AD">
        <w:rPr>
          <w:lang w:val="en-US"/>
        </w:rPr>
        <w:t>model</w:t>
      </w:r>
      <w:r w:rsidR="4910D8CA" w:rsidRPr="4E07C312">
        <w:rPr>
          <w:lang w:val="en-US"/>
        </w:rPr>
        <w:t xml:space="preserve"> will help identify and predict the communities suffering from food insecurity or maybe food insecurity in the future.</w:t>
      </w:r>
    </w:p>
    <w:p w14:paraId="29E4FC2A" w14:textId="0BE6C6C6" w:rsidR="0009445C" w:rsidRPr="00A90080" w:rsidRDefault="00110B56" w:rsidP="00A90080">
      <w:pPr>
        <w:pStyle w:val="Heading1"/>
        <w:jc w:val="center"/>
      </w:pPr>
      <w:r>
        <w:t>background literature</w:t>
      </w:r>
    </w:p>
    <w:p w14:paraId="22870DBE" w14:textId="7C9EEF91" w:rsidR="740936BF" w:rsidRDefault="740936BF" w:rsidP="006D156D">
      <w:pPr>
        <w:pStyle w:val="Default"/>
        <w:ind w:firstLine="288"/>
        <w:jc w:val="both"/>
        <w:rPr>
          <w:sz w:val="20"/>
          <w:szCs w:val="20"/>
        </w:rPr>
      </w:pPr>
      <w:r w:rsidRPr="4E07C312">
        <w:rPr>
          <w:sz w:val="20"/>
          <w:szCs w:val="20"/>
        </w:rPr>
        <w:t xml:space="preserve">Several studies have linked health metrics of various age groups to </w:t>
      </w:r>
      <w:r w:rsidR="00BA63AD">
        <w:rPr>
          <w:sz w:val="20"/>
          <w:szCs w:val="20"/>
        </w:rPr>
        <w:t xml:space="preserve">food </w:t>
      </w:r>
      <w:r w:rsidRPr="4E07C312">
        <w:rPr>
          <w:sz w:val="20"/>
          <w:szCs w:val="20"/>
        </w:rPr>
        <w:t xml:space="preserve">insecurity. Baiden et al. [4] investigated the relationship between adverse childhood experiences and food insecurity in US children from 0-5 years old. They analyzed data from the 2016–2017 National Survey of Children's Health using multinomial logistic regression (food insecurity as the outcome). Results showed a significant association between household food insecurity and several categorical variables considered in the analysis. The study by Thomas et al. [5] was to approximate what food insecurity causes children's health and healthcare usage. Using data from the National Health Interview Study (NHIS), they analyzed a broad range of child health outcomes aged from 2 to 17, using PS methods. As a result, they showed that food insecurity was related to significantly worse health (such as asthma, depression, skin allergies, and general usage of emergency rooms). Jackson et al. [6] studied the association between individual and cumulative adverse childhood experience exposure and food insecurity and parents' self-rated well-being. This was done by applying a multinomial logistic regression from the 2016 National Survey of Children's Health data. Higher odds of food insecurity were related to cumulative adverse childhood experiences, while the self-rated well-being of parents significantly influenced these associations. Drennen et al. [7] provided a relationship between food insecurity and health in children under four years old, such as obesity, underweight, stunting, health, and development. A multivariable logistic regression analysis was applied to data from a cross-sectional survey at medical centers. Findings revealed that food insecurity is associated with increased odds of fair or poor health.  </w:t>
      </w:r>
    </w:p>
    <w:p w14:paraId="56D9ABA9" w14:textId="77777777" w:rsidR="007C7995" w:rsidRDefault="007C7995" w:rsidP="0009445C">
      <w:pPr>
        <w:pStyle w:val="Default"/>
        <w:jc w:val="both"/>
        <w:rPr>
          <w:sz w:val="20"/>
          <w:szCs w:val="20"/>
        </w:rPr>
      </w:pPr>
    </w:p>
    <w:p w14:paraId="361529A6" w14:textId="386550A6" w:rsidR="2789BC26" w:rsidRDefault="2789BC26" w:rsidP="006D156D">
      <w:pPr>
        <w:pStyle w:val="Default"/>
        <w:ind w:firstLine="288"/>
        <w:jc w:val="both"/>
        <w:rPr>
          <w:sz w:val="20"/>
          <w:szCs w:val="20"/>
        </w:rPr>
      </w:pPr>
      <w:r w:rsidRPr="4E07C312">
        <w:rPr>
          <w:sz w:val="20"/>
          <w:szCs w:val="20"/>
        </w:rPr>
        <w:t xml:space="preserve">Jih et al. [8] analyzed the effect of chronic diseases on older adults. They hypothesized that out-of-pocket healthcare expenditures might lead to a shortage of funds, inevitably affecting their buying capacity. They performed a statistical analysis to validate the hypothesis. The study was done on respondents from the 2013 Health and Retirement Study (HRS) Health Care and Nutrition Study. They categorized the chronic conditions from 0 to 5 and above. The results showed a heavy prevalence of food insecurity in older adults with multiple chronic conditions; hence additional attention should be given to chronic diseases while studying food insecurity. Jackson et al. [9] explored the relationship between physical limitations in older adults to food insecurity. The data was from a survey in which they asked the participants about the difficulty of performing 19 types of activities. Multinomial and logistic regression was used to determine the relationship between the survey results to food insecurity. Results showed that physical functioning is critical while screening older adults for food insecurity. S. L. Goldberg and B. E. Mawn [10] examined the National Health and Nutrition Examination Survey to study food insecurity from a social-ecological perspective. The </w:t>
      </w:r>
      <w:r w:rsidRPr="4E07C312">
        <w:rPr>
          <w:sz w:val="20"/>
          <w:szCs w:val="20"/>
        </w:rPr>
        <w:t xml:space="preserve">variable was analyzed statistically, and a logistic regression analysis was performed. The critical factors for food insecurity in older adults are the severity of depression, financial background, and did they ever receive household food stamps benefits, Vilar-Compte et al. [11] provide a literature review on the various food insecurity measures, and they also assessed experience-based food security scales using psychometric analysis. They concluded that food security could be strengthened by producing valid monitoring instruments. These instruments should be taken into consideration the ecological and multisectoral information. J. S. Lee [12] showcased how data can be efficiently extracted and linked through various datasets from food insecurity and healthcare perspective. They linked the state aging services client database and the Centers for Medicare and Medicaid Services data to better estimate the healthcare cost, especially for food-insecure older adults with chronic devices.  </w:t>
      </w:r>
    </w:p>
    <w:p w14:paraId="3EFD06F3" w14:textId="77777777" w:rsidR="00BA523D" w:rsidRPr="00BA523D" w:rsidRDefault="00BA523D" w:rsidP="00BA523D">
      <w:pPr>
        <w:pStyle w:val="Default"/>
        <w:ind w:firstLine="288"/>
        <w:jc w:val="both"/>
        <w:rPr>
          <w:sz w:val="20"/>
          <w:szCs w:val="20"/>
        </w:rPr>
      </w:pPr>
    </w:p>
    <w:p w14:paraId="0F5A77EF" w14:textId="470F8472" w:rsidR="00E53D37" w:rsidRDefault="009D7847" w:rsidP="0009445C">
      <w:pPr>
        <w:pStyle w:val="BodyText"/>
        <w:ind w:firstLine="0"/>
      </w:pPr>
      <w:r>
        <w:tab/>
      </w:r>
      <w:r w:rsidR="00F2744A">
        <w:t>K. L. Hanson and L. M. Connor [13] provided a comprehensive review of literature in which they found a strong association between food insecure adults consuming lower quantities of fruit, vegetables, and dairy products leading to a lower intake of vitamins A and B-6, calcium, magnesium, and zinc. The authors also concluded a strong association of insecurity with dietary quality, particularly the products</w:t>
      </w:r>
      <w:r w:rsidR="7B0DC0EB">
        <w:t xml:space="preserve"> mentioned earlier.</w:t>
      </w:r>
      <w:r w:rsidR="00F2744A">
        <w:t xml:space="preserve"> Walker et al. [14] </w:t>
      </w:r>
      <w:r w:rsidR="7B0DC0EB">
        <w:t>studied</w:t>
      </w:r>
      <w:r w:rsidR="00F2744A">
        <w:t xml:space="preserve"> the relationship between food insecurity and mortality by matching national death index information with national health and nutritional examination. When looking at the food insecure population</w:t>
      </w:r>
      <w:r w:rsidR="7B0DC0EB">
        <w:t>,</w:t>
      </w:r>
      <w:r w:rsidR="00F2744A">
        <w:t xml:space="preserve"> there was a 49% higher mortality rate when demographics were adjusted. Despite adjusting for comorbidities</w:t>
      </w:r>
      <w:r w:rsidR="7B0DC0EB">
        <w:t>,</w:t>
      </w:r>
      <w:r w:rsidR="00F2744A">
        <w:t xml:space="preserve"> the hazard rate remained significant. A survey of the urban population of adults in Chicago</w:t>
      </w:r>
      <w:r w:rsidR="7B0DC0EB">
        <w:t>,</w:t>
      </w:r>
      <w:r w:rsidR="00F2744A">
        <w:t xml:space="preserve"> a cross-sectional population</w:t>
      </w:r>
      <w:r w:rsidR="7B0DC0EB">
        <w:t>,</w:t>
      </w:r>
      <w:r w:rsidR="00F2744A">
        <w:t xml:space="preserve"> showed </w:t>
      </w:r>
      <w:r w:rsidR="7B0DC0EB">
        <w:t xml:space="preserve">that </w:t>
      </w:r>
      <w:r w:rsidR="00F2744A">
        <w:t xml:space="preserve">factors like </w:t>
      </w:r>
      <w:r w:rsidR="0009445C">
        <w:t>loneliness</w:t>
      </w:r>
      <w:r>
        <w:t xml:space="preserve">, emergency food use benefits, and food stamps </w:t>
      </w:r>
      <w:r w:rsidR="7B0DC0EB">
        <w:t>are</w:t>
      </w:r>
      <w:r>
        <w:t xml:space="preserve"> significantly related to food insecurity. The study also showed an association with language factors and that the English</w:t>
      </w:r>
      <w:r w:rsidR="7B0DC0EB">
        <w:t>-</w:t>
      </w:r>
      <w:r>
        <w:t xml:space="preserve">speaking population was food secure and concluded a strong correlation between food insecurity and social risks. The study used multivariate logistic regression with backward selection to build the model Hunt et al. [15]. Christian A. Gregory and Alisha Coleman-Jensen [16] </w:t>
      </w:r>
      <w:r w:rsidR="7B0DC0EB">
        <w:t>analyzed</w:t>
      </w:r>
      <w:r>
        <w:t xml:space="preserve"> the correlation between food insecurity and chronic health conditions among working adults and found a </w:t>
      </w:r>
      <w:r w:rsidR="7B0DC0EB">
        <w:t>substantial</w:t>
      </w:r>
      <w:r>
        <w:t xml:space="preserve"> likelihood of hypertension, coronary heart disease (CHD), hepatitis, stroke, cancer, asthma, diabetes, arthritis, chronic obstructive pulmonary disease (COPD), and kidney disease. The study also showed that food insecurity was a better predictor of these chronic diseases than income showing statistically significant differences in these diseases when comparing food-secure and insecure households. The literature review provides strong evidence </w:t>
      </w:r>
      <w:r w:rsidR="7B0DC0EB">
        <w:t>linking</w:t>
      </w:r>
      <w:r>
        <w:t xml:space="preserve"> health metrics and food insecurity across different health groups. </w:t>
      </w:r>
      <w:r w:rsidRPr="008F41F6">
        <w:t xml:space="preserve">Table </w:t>
      </w:r>
      <w:r w:rsidR="00C569E7">
        <w:rPr>
          <w:lang w:val="en-US"/>
        </w:rPr>
        <w:t>I</w:t>
      </w:r>
      <w:r w:rsidRPr="008F41F6">
        <w:t xml:space="preserve"> provide a brief summary on all the papers in the literature review.</w:t>
      </w:r>
      <w:r w:rsidR="00E53D37">
        <w:br w:type="page"/>
      </w:r>
    </w:p>
    <w:p w14:paraId="1F662544" w14:textId="77777777" w:rsidR="00CF0B8B" w:rsidRDefault="00CF0B8B" w:rsidP="00CF0B8B">
      <w:pPr>
        <w:rPr>
          <w:sz w:val="16"/>
          <w:szCs w:val="16"/>
        </w:rPr>
      </w:pPr>
      <w:r>
        <w:rPr>
          <w:sz w:val="16"/>
          <w:szCs w:val="16"/>
        </w:rPr>
        <w:lastRenderedPageBreak/>
        <w:t>TABLE I.</w:t>
      </w:r>
    </w:p>
    <w:p w14:paraId="2CB072A1" w14:textId="77777777" w:rsidR="00CF0B8B" w:rsidRDefault="00CF0B8B" w:rsidP="00CF0B8B">
      <w:pPr>
        <w:pStyle w:val="tablehead"/>
        <w:numPr>
          <w:ilvl w:val="0"/>
          <w:numId w:val="0"/>
        </w:numPr>
        <w:tabs>
          <w:tab w:val="left" w:pos="720"/>
        </w:tabs>
        <w:spacing w:before="0" w:after="0"/>
        <w:jc w:val="both"/>
      </w:pPr>
      <w:r>
        <w:t>Summary of the literaure review</w:t>
      </w:r>
    </w:p>
    <w:tbl>
      <w:tblPr>
        <w:tblStyle w:val="TableGrid"/>
        <w:tblpPr w:leftFromText="181" w:rightFromText="181" w:topFromText="142" w:bottomFromText="142" w:vertAnchor="page" w:horzAnchor="margin" w:tblpY="1858"/>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2521"/>
        <w:gridCol w:w="2228"/>
        <w:gridCol w:w="2119"/>
        <w:gridCol w:w="1318"/>
      </w:tblGrid>
      <w:tr w:rsidR="00CF0B8B" w14:paraId="7CA3F2B7" w14:textId="77777777" w:rsidTr="00CF0B8B">
        <w:trPr>
          <w:trHeight w:val="558"/>
        </w:trPr>
        <w:tc>
          <w:tcPr>
            <w:tcW w:w="6" w:type="dxa"/>
            <w:tcBorders>
              <w:top w:val="single" w:sz="12" w:space="0" w:color="auto"/>
              <w:left w:val="nil"/>
              <w:bottom w:val="single" w:sz="12" w:space="0" w:color="auto"/>
              <w:right w:val="single" w:sz="12" w:space="0" w:color="auto"/>
            </w:tcBorders>
            <w:hideMark/>
          </w:tcPr>
          <w:p w14:paraId="082A5B90" w14:textId="77777777" w:rsidR="00CF0B8B" w:rsidRDefault="00CF0B8B">
            <w:pPr>
              <w:spacing w:before="240"/>
              <w:jc w:val="both"/>
              <w:rPr>
                <w:sz w:val="16"/>
                <w:szCs w:val="16"/>
              </w:rPr>
            </w:pPr>
            <w:r>
              <w:rPr>
                <w:sz w:val="16"/>
                <w:szCs w:val="16"/>
              </w:rPr>
              <w:t>Paper</w:t>
            </w:r>
          </w:p>
        </w:tc>
        <w:tc>
          <w:tcPr>
            <w:tcW w:w="6" w:type="dxa"/>
            <w:tcBorders>
              <w:top w:val="single" w:sz="12" w:space="0" w:color="auto"/>
              <w:left w:val="single" w:sz="12" w:space="0" w:color="auto"/>
              <w:bottom w:val="single" w:sz="12" w:space="0" w:color="auto"/>
              <w:right w:val="single" w:sz="12" w:space="0" w:color="auto"/>
            </w:tcBorders>
            <w:hideMark/>
          </w:tcPr>
          <w:p w14:paraId="5C076B51" w14:textId="77777777" w:rsidR="00CF0B8B" w:rsidRDefault="00CF0B8B">
            <w:pPr>
              <w:spacing w:before="240"/>
              <w:jc w:val="both"/>
              <w:rPr>
                <w:sz w:val="16"/>
                <w:szCs w:val="16"/>
              </w:rPr>
            </w:pPr>
            <w:r>
              <w:rPr>
                <w:color w:val="000000"/>
                <w:sz w:val="16"/>
                <w:szCs w:val="16"/>
              </w:rPr>
              <w:t>Metrics</w:t>
            </w:r>
          </w:p>
        </w:tc>
        <w:tc>
          <w:tcPr>
            <w:tcW w:w="6" w:type="dxa"/>
            <w:tcBorders>
              <w:top w:val="single" w:sz="12" w:space="0" w:color="auto"/>
              <w:left w:val="single" w:sz="12" w:space="0" w:color="auto"/>
              <w:bottom w:val="single" w:sz="12" w:space="0" w:color="auto"/>
              <w:right w:val="single" w:sz="12" w:space="0" w:color="auto"/>
            </w:tcBorders>
            <w:hideMark/>
          </w:tcPr>
          <w:p w14:paraId="23ACF19F" w14:textId="77777777" w:rsidR="00CF0B8B" w:rsidRDefault="00CF0B8B">
            <w:pPr>
              <w:spacing w:before="240"/>
              <w:jc w:val="both"/>
              <w:rPr>
                <w:sz w:val="16"/>
                <w:szCs w:val="16"/>
              </w:rPr>
            </w:pPr>
            <w:r>
              <w:rPr>
                <w:color w:val="000000"/>
                <w:sz w:val="16"/>
                <w:szCs w:val="16"/>
              </w:rPr>
              <w:t>Methodology</w:t>
            </w:r>
          </w:p>
        </w:tc>
        <w:tc>
          <w:tcPr>
            <w:tcW w:w="6" w:type="dxa"/>
            <w:tcBorders>
              <w:top w:val="single" w:sz="12" w:space="0" w:color="auto"/>
              <w:left w:val="single" w:sz="12" w:space="0" w:color="auto"/>
              <w:bottom w:val="single" w:sz="12" w:space="0" w:color="auto"/>
              <w:right w:val="single" w:sz="12" w:space="0" w:color="auto"/>
            </w:tcBorders>
            <w:hideMark/>
          </w:tcPr>
          <w:p w14:paraId="3CBE2985" w14:textId="77777777" w:rsidR="00CF0B8B" w:rsidRDefault="00CF0B8B">
            <w:pPr>
              <w:spacing w:before="240"/>
              <w:jc w:val="both"/>
              <w:rPr>
                <w:sz w:val="16"/>
                <w:szCs w:val="16"/>
              </w:rPr>
            </w:pPr>
            <w:r>
              <w:rPr>
                <w:color w:val="000000"/>
                <w:sz w:val="16"/>
                <w:szCs w:val="16"/>
              </w:rPr>
              <w:t>Data sources</w:t>
            </w:r>
          </w:p>
        </w:tc>
        <w:tc>
          <w:tcPr>
            <w:tcW w:w="6" w:type="dxa"/>
            <w:tcBorders>
              <w:top w:val="single" w:sz="12" w:space="0" w:color="auto"/>
              <w:left w:val="single" w:sz="12" w:space="0" w:color="auto"/>
              <w:bottom w:val="single" w:sz="12" w:space="0" w:color="auto"/>
              <w:right w:val="nil"/>
            </w:tcBorders>
            <w:hideMark/>
          </w:tcPr>
          <w:p w14:paraId="664B951A" w14:textId="77777777" w:rsidR="00CF0B8B" w:rsidRDefault="00CF0B8B">
            <w:pPr>
              <w:spacing w:before="240"/>
              <w:jc w:val="both"/>
              <w:rPr>
                <w:sz w:val="16"/>
                <w:szCs w:val="16"/>
              </w:rPr>
            </w:pPr>
            <w:r>
              <w:rPr>
                <w:sz w:val="16"/>
                <w:szCs w:val="16"/>
              </w:rPr>
              <w:t>Age group</w:t>
            </w:r>
          </w:p>
        </w:tc>
      </w:tr>
      <w:tr w:rsidR="00CF0B8B" w14:paraId="75ECE55E" w14:textId="77777777" w:rsidTr="00CF0B8B">
        <w:trPr>
          <w:trHeight w:val="1017"/>
        </w:trPr>
        <w:tc>
          <w:tcPr>
            <w:tcW w:w="6" w:type="dxa"/>
            <w:tcBorders>
              <w:top w:val="single" w:sz="12" w:space="0" w:color="auto"/>
              <w:left w:val="nil"/>
              <w:bottom w:val="nil"/>
              <w:right w:val="nil"/>
            </w:tcBorders>
            <w:hideMark/>
          </w:tcPr>
          <w:p w14:paraId="38A34261" w14:textId="77777777" w:rsidR="00CF0B8B" w:rsidRDefault="00CF0B8B">
            <w:pPr>
              <w:spacing w:after="240"/>
              <w:jc w:val="both"/>
              <w:rPr>
                <w:sz w:val="16"/>
                <w:szCs w:val="16"/>
              </w:rPr>
            </w:pPr>
            <w:r>
              <w:rPr>
                <w:color w:val="000000"/>
                <w:sz w:val="16"/>
                <w:szCs w:val="16"/>
              </w:rPr>
              <w:t>Hunt et al. (2019) [15]</w:t>
            </w:r>
          </w:p>
        </w:tc>
        <w:tc>
          <w:tcPr>
            <w:tcW w:w="6" w:type="dxa"/>
            <w:tcBorders>
              <w:top w:val="single" w:sz="12" w:space="0" w:color="auto"/>
              <w:left w:val="nil"/>
              <w:bottom w:val="nil"/>
              <w:right w:val="nil"/>
            </w:tcBorders>
            <w:hideMark/>
          </w:tcPr>
          <w:p w14:paraId="6A364C4B" w14:textId="77777777" w:rsidR="00CF0B8B" w:rsidRDefault="00CF0B8B">
            <w:pPr>
              <w:pStyle w:val="NormalWeb"/>
              <w:spacing w:before="0" w:beforeAutospacing="0" w:after="0" w:afterAutospacing="0"/>
              <w:jc w:val="both"/>
              <w:textAlignment w:val="baseline"/>
              <w:rPr>
                <w:color w:val="000000"/>
                <w:sz w:val="16"/>
                <w:szCs w:val="16"/>
              </w:rPr>
            </w:pPr>
            <w:r>
              <w:rPr>
                <w:color w:val="000000"/>
                <w:sz w:val="16"/>
                <w:szCs w:val="16"/>
              </w:rPr>
              <w:t>Social Risk (Use of food stamps or emergency food use), First Language (English not being primary language has higher odds of insecurity), Mental Health</w:t>
            </w:r>
          </w:p>
        </w:tc>
        <w:tc>
          <w:tcPr>
            <w:tcW w:w="6" w:type="dxa"/>
            <w:tcBorders>
              <w:top w:val="single" w:sz="12" w:space="0" w:color="auto"/>
              <w:left w:val="nil"/>
              <w:bottom w:val="nil"/>
              <w:right w:val="nil"/>
            </w:tcBorders>
            <w:hideMark/>
          </w:tcPr>
          <w:p w14:paraId="4019B6E8" w14:textId="77777777" w:rsidR="00CF0B8B" w:rsidRDefault="00CF0B8B">
            <w:pPr>
              <w:pStyle w:val="NormalWeb"/>
              <w:spacing w:before="0" w:beforeAutospacing="0" w:after="240" w:afterAutospacing="0"/>
              <w:jc w:val="both"/>
              <w:rPr>
                <w:sz w:val="16"/>
                <w:szCs w:val="16"/>
              </w:rPr>
            </w:pPr>
            <w:r>
              <w:rPr>
                <w:color w:val="000000"/>
                <w:sz w:val="16"/>
                <w:szCs w:val="16"/>
              </w:rPr>
              <w:t>Multivariate logistic regression with manual backward selection process</w:t>
            </w:r>
          </w:p>
        </w:tc>
        <w:tc>
          <w:tcPr>
            <w:tcW w:w="6" w:type="dxa"/>
            <w:tcBorders>
              <w:top w:val="single" w:sz="12" w:space="0" w:color="auto"/>
              <w:left w:val="nil"/>
              <w:bottom w:val="nil"/>
              <w:right w:val="nil"/>
            </w:tcBorders>
            <w:hideMark/>
          </w:tcPr>
          <w:p w14:paraId="358ABE12" w14:textId="77777777" w:rsidR="00CF0B8B" w:rsidRDefault="00CF0B8B">
            <w:pPr>
              <w:spacing w:after="240"/>
              <w:jc w:val="both"/>
              <w:rPr>
                <w:sz w:val="16"/>
                <w:szCs w:val="16"/>
              </w:rPr>
            </w:pPr>
            <w:r>
              <w:rPr>
                <w:color w:val="000000"/>
                <w:sz w:val="16"/>
                <w:szCs w:val="16"/>
              </w:rPr>
              <w:t>Sinai Community Health Survey 2.0</w:t>
            </w:r>
          </w:p>
        </w:tc>
        <w:tc>
          <w:tcPr>
            <w:tcW w:w="6" w:type="dxa"/>
            <w:tcBorders>
              <w:top w:val="single" w:sz="12" w:space="0" w:color="auto"/>
              <w:left w:val="nil"/>
              <w:bottom w:val="nil"/>
              <w:right w:val="nil"/>
            </w:tcBorders>
            <w:hideMark/>
          </w:tcPr>
          <w:p w14:paraId="26AA7F93" w14:textId="77777777" w:rsidR="00CF0B8B" w:rsidRDefault="00CF0B8B">
            <w:pPr>
              <w:spacing w:after="240"/>
              <w:jc w:val="both"/>
              <w:rPr>
                <w:sz w:val="16"/>
                <w:szCs w:val="16"/>
              </w:rPr>
            </w:pPr>
            <w:r>
              <w:rPr>
                <w:color w:val="000000"/>
                <w:sz w:val="16"/>
                <w:szCs w:val="16"/>
              </w:rPr>
              <w:t>18 and over</w:t>
            </w:r>
          </w:p>
        </w:tc>
      </w:tr>
      <w:tr w:rsidR="00CF0B8B" w14:paraId="577D4167" w14:textId="77777777" w:rsidTr="00CF0B8B">
        <w:trPr>
          <w:trHeight w:val="337"/>
        </w:trPr>
        <w:tc>
          <w:tcPr>
            <w:tcW w:w="6" w:type="dxa"/>
            <w:hideMark/>
          </w:tcPr>
          <w:p w14:paraId="1C28457B" w14:textId="77777777" w:rsidR="00CF0B8B" w:rsidRDefault="00CF0B8B">
            <w:pPr>
              <w:spacing w:before="240" w:after="240"/>
              <w:jc w:val="both"/>
              <w:rPr>
                <w:sz w:val="16"/>
                <w:szCs w:val="16"/>
              </w:rPr>
            </w:pPr>
            <w:r>
              <w:rPr>
                <w:color w:val="000000"/>
                <w:sz w:val="16"/>
                <w:szCs w:val="16"/>
              </w:rPr>
              <w:t>Christian A. Gregory and Alisha Coleman-Jensen (2017) [16]</w:t>
            </w:r>
          </w:p>
        </w:tc>
        <w:tc>
          <w:tcPr>
            <w:tcW w:w="6" w:type="dxa"/>
            <w:hideMark/>
          </w:tcPr>
          <w:p w14:paraId="4FFE3CC0" w14:textId="77777777" w:rsidR="00CF0B8B" w:rsidRDefault="00CF0B8B">
            <w:pPr>
              <w:spacing w:before="240" w:after="240"/>
              <w:jc w:val="both"/>
              <w:rPr>
                <w:sz w:val="16"/>
                <w:szCs w:val="16"/>
              </w:rPr>
            </w:pPr>
            <w:r>
              <w:rPr>
                <w:color w:val="000000"/>
                <w:sz w:val="16"/>
                <w:szCs w:val="16"/>
              </w:rPr>
              <w:t>Most Chronic Diseases. (Hypertension, CHD, Hepatitis, stroke etc)</w:t>
            </w:r>
          </w:p>
        </w:tc>
        <w:tc>
          <w:tcPr>
            <w:tcW w:w="6" w:type="dxa"/>
            <w:hideMark/>
          </w:tcPr>
          <w:p w14:paraId="676D6D03" w14:textId="77777777" w:rsidR="00CF0B8B" w:rsidRDefault="00CF0B8B">
            <w:pPr>
              <w:pStyle w:val="NormalWeb"/>
              <w:spacing w:before="240" w:beforeAutospacing="0" w:after="240" w:afterAutospacing="0"/>
              <w:jc w:val="both"/>
              <w:rPr>
                <w:sz w:val="16"/>
                <w:szCs w:val="16"/>
              </w:rPr>
            </w:pPr>
            <w:r>
              <w:rPr>
                <w:color w:val="000000"/>
                <w:sz w:val="16"/>
                <w:szCs w:val="16"/>
              </w:rPr>
              <w:t>Logistic regression for association between food insecurity and chronic conditions</w:t>
            </w:r>
          </w:p>
        </w:tc>
        <w:tc>
          <w:tcPr>
            <w:tcW w:w="6" w:type="dxa"/>
            <w:hideMark/>
          </w:tcPr>
          <w:p w14:paraId="6BFBEF11" w14:textId="77777777" w:rsidR="00CF0B8B" w:rsidRDefault="00CF0B8B">
            <w:pPr>
              <w:spacing w:before="240" w:after="240"/>
              <w:jc w:val="both"/>
              <w:rPr>
                <w:sz w:val="16"/>
                <w:szCs w:val="16"/>
              </w:rPr>
            </w:pPr>
            <w:r>
              <w:rPr>
                <w:color w:val="000000"/>
                <w:sz w:val="16"/>
                <w:szCs w:val="16"/>
              </w:rPr>
              <w:t>National Health Interview Survey</w:t>
            </w:r>
          </w:p>
        </w:tc>
        <w:tc>
          <w:tcPr>
            <w:tcW w:w="6" w:type="dxa"/>
            <w:hideMark/>
          </w:tcPr>
          <w:p w14:paraId="3B0F5D5B" w14:textId="77777777" w:rsidR="00CF0B8B" w:rsidRDefault="00CF0B8B">
            <w:pPr>
              <w:spacing w:before="240" w:after="240"/>
              <w:jc w:val="both"/>
              <w:rPr>
                <w:sz w:val="16"/>
                <w:szCs w:val="16"/>
              </w:rPr>
            </w:pPr>
            <w:r>
              <w:rPr>
                <w:color w:val="000000"/>
                <w:sz w:val="16"/>
                <w:szCs w:val="16"/>
              </w:rPr>
              <w:t>18-64</w:t>
            </w:r>
          </w:p>
        </w:tc>
      </w:tr>
      <w:tr w:rsidR="00CF0B8B" w14:paraId="42C702A4" w14:textId="77777777" w:rsidTr="00CF0B8B">
        <w:trPr>
          <w:trHeight w:val="671"/>
        </w:trPr>
        <w:tc>
          <w:tcPr>
            <w:tcW w:w="6" w:type="dxa"/>
            <w:hideMark/>
          </w:tcPr>
          <w:p w14:paraId="7B42E1FC" w14:textId="77777777" w:rsidR="00CF0B8B" w:rsidRDefault="00CF0B8B">
            <w:pPr>
              <w:spacing w:after="240"/>
              <w:jc w:val="both"/>
              <w:rPr>
                <w:sz w:val="16"/>
                <w:szCs w:val="16"/>
              </w:rPr>
            </w:pPr>
            <w:r>
              <w:rPr>
                <w:color w:val="000000"/>
                <w:sz w:val="16"/>
                <w:szCs w:val="16"/>
              </w:rPr>
              <w:t>Walker et al. (2019) [14]</w:t>
            </w:r>
          </w:p>
        </w:tc>
        <w:tc>
          <w:tcPr>
            <w:tcW w:w="6" w:type="dxa"/>
            <w:hideMark/>
          </w:tcPr>
          <w:p w14:paraId="4FE46B05" w14:textId="77777777" w:rsidR="00CF0B8B" w:rsidRDefault="00CF0B8B">
            <w:pPr>
              <w:spacing w:after="240"/>
              <w:jc w:val="both"/>
              <w:rPr>
                <w:sz w:val="16"/>
                <w:szCs w:val="16"/>
              </w:rPr>
            </w:pPr>
            <w:r>
              <w:rPr>
                <w:color w:val="000000"/>
                <w:sz w:val="16"/>
                <w:szCs w:val="16"/>
              </w:rPr>
              <w:t>All causes mortality</w:t>
            </w:r>
          </w:p>
        </w:tc>
        <w:tc>
          <w:tcPr>
            <w:tcW w:w="6" w:type="dxa"/>
            <w:hideMark/>
          </w:tcPr>
          <w:p w14:paraId="08EA7D01" w14:textId="77777777" w:rsidR="00CF0B8B" w:rsidRDefault="00CF0B8B">
            <w:pPr>
              <w:spacing w:after="240"/>
              <w:jc w:val="both"/>
              <w:rPr>
                <w:sz w:val="16"/>
                <w:szCs w:val="16"/>
              </w:rPr>
            </w:pPr>
            <w:r>
              <w:rPr>
                <w:color w:val="000000"/>
                <w:sz w:val="16"/>
                <w:szCs w:val="16"/>
              </w:rPr>
              <w:t>Cox proportional hazards model</w:t>
            </w:r>
          </w:p>
        </w:tc>
        <w:tc>
          <w:tcPr>
            <w:tcW w:w="6" w:type="dxa"/>
            <w:hideMark/>
          </w:tcPr>
          <w:p w14:paraId="26CA4F34" w14:textId="77777777" w:rsidR="00CF0B8B" w:rsidRDefault="00CF0B8B">
            <w:pPr>
              <w:spacing w:after="240"/>
              <w:jc w:val="both"/>
              <w:rPr>
                <w:sz w:val="16"/>
                <w:szCs w:val="16"/>
              </w:rPr>
            </w:pPr>
            <w:r>
              <w:rPr>
                <w:color w:val="000000"/>
                <w:sz w:val="16"/>
                <w:szCs w:val="16"/>
              </w:rPr>
              <w:t>National Health and Nutrition Examination Survey and National Death Index information</w:t>
            </w:r>
          </w:p>
        </w:tc>
        <w:tc>
          <w:tcPr>
            <w:tcW w:w="6" w:type="dxa"/>
            <w:hideMark/>
          </w:tcPr>
          <w:p w14:paraId="3A4D4E70" w14:textId="77777777" w:rsidR="00CF0B8B" w:rsidRDefault="00CF0B8B">
            <w:pPr>
              <w:spacing w:after="240"/>
              <w:jc w:val="both"/>
              <w:rPr>
                <w:sz w:val="16"/>
                <w:szCs w:val="16"/>
              </w:rPr>
            </w:pPr>
            <w:r>
              <w:rPr>
                <w:color w:val="000000"/>
                <w:sz w:val="16"/>
                <w:szCs w:val="16"/>
              </w:rPr>
              <w:t>20 and over</w:t>
            </w:r>
          </w:p>
        </w:tc>
      </w:tr>
      <w:tr w:rsidR="00CF0B8B" w14:paraId="75491205" w14:textId="77777777" w:rsidTr="00CF0B8B">
        <w:trPr>
          <w:trHeight w:val="337"/>
        </w:trPr>
        <w:tc>
          <w:tcPr>
            <w:tcW w:w="6" w:type="dxa"/>
            <w:hideMark/>
          </w:tcPr>
          <w:p w14:paraId="67BD3341" w14:textId="77777777" w:rsidR="00CF0B8B" w:rsidRDefault="00CF0B8B">
            <w:pPr>
              <w:spacing w:after="240"/>
              <w:jc w:val="both"/>
              <w:rPr>
                <w:sz w:val="16"/>
                <w:szCs w:val="16"/>
              </w:rPr>
            </w:pPr>
            <w:r>
              <w:rPr>
                <w:color w:val="000000"/>
                <w:sz w:val="16"/>
                <w:szCs w:val="16"/>
              </w:rPr>
              <w:t>K. L. Hanson and L. M. Connor (2014) [13]</w:t>
            </w:r>
          </w:p>
        </w:tc>
        <w:tc>
          <w:tcPr>
            <w:tcW w:w="6" w:type="dxa"/>
            <w:hideMark/>
          </w:tcPr>
          <w:p w14:paraId="6064311C" w14:textId="77777777" w:rsidR="00CF0B8B" w:rsidRDefault="00CF0B8B">
            <w:pPr>
              <w:spacing w:after="240"/>
              <w:jc w:val="both"/>
              <w:rPr>
                <w:sz w:val="16"/>
                <w:szCs w:val="16"/>
              </w:rPr>
            </w:pPr>
            <w:r>
              <w:rPr>
                <w:color w:val="000000"/>
                <w:sz w:val="16"/>
                <w:szCs w:val="16"/>
              </w:rPr>
              <w:t>Consumption of Vegetables, fruits and dairy</w:t>
            </w:r>
          </w:p>
        </w:tc>
        <w:tc>
          <w:tcPr>
            <w:tcW w:w="6" w:type="dxa"/>
            <w:hideMark/>
          </w:tcPr>
          <w:p w14:paraId="7EBCD99B" w14:textId="77777777" w:rsidR="00CF0B8B" w:rsidRDefault="00CF0B8B">
            <w:pPr>
              <w:spacing w:after="240"/>
              <w:jc w:val="both"/>
              <w:rPr>
                <w:sz w:val="16"/>
                <w:szCs w:val="16"/>
              </w:rPr>
            </w:pPr>
            <w:r>
              <w:rPr>
                <w:color w:val="000000"/>
                <w:sz w:val="16"/>
                <w:szCs w:val="16"/>
              </w:rPr>
              <w:t>Systematic review of literature to find association of factors</w:t>
            </w:r>
          </w:p>
        </w:tc>
        <w:tc>
          <w:tcPr>
            <w:tcW w:w="6" w:type="dxa"/>
            <w:hideMark/>
          </w:tcPr>
          <w:p w14:paraId="2DF518BB" w14:textId="77777777" w:rsidR="00CF0B8B" w:rsidRDefault="00CF0B8B">
            <w:pPr>
              <w:spacing w:after="240"/>
              <w:jc w:val="both"/>
              <w:rPr>
                <w:sz w:val="16"/>
                <w:szCs w:val="16"/>
              </w:rPr>
            </w:pPr>
            <w:r>
              <w:rPr>
                <w:color w:val="000000"/>
                <w:sz w:val="16"/>
                <w:szCs w:val="16"/>
              </w:rPr>
              <w:t>Data gathered from literature survey</w:t>
            </w:r>
          </w:p>
        </w:tc>
        <w:tc>
          <w:tcPr>
            <w:tcW w:w="6" w:type="dxa"/>
            <w:hideMark/>
          </w:tcPr>
          <w:p w14:paraId="2EC27681" w14:textId="77777777" w:rsidR="00CF0B8B" w:rsidRDefault="00CF0B8B">
            <w:pPr>
              <w:spacing w:after="240"/>
              <w:jc w:val="both"/>
              <w:rPr>
                <w:sz w:val="16"/>
                <w:szCs w:val="16"/>
              </w:rPr>
            </w:pPr>
            <w:r>
              <w:rPr>
                <w:color w:val="000000"/>
                <w:sz w:val="16"/>
                <w:szCs w:val="16"/>
              </w:rPr>
              <w:t>18 and over</w:t>
            </w:r>
          </w:p>
        </w:tc>
      </w:tr>
      <w:tr w:rsidR="00CF0B8B" w14:paraId="2D2DA829" w14:textId="77777777" w:rsidTr="00CF0B8B">
        <w:trPr>
          <w:trHeight w:val="1017"/>
        </w:trPr>
        <w:tc>
          <w:tcPr>
            <w:tcW w:w="6" w:type="dxa"/>
            <w:hideMark/>
          </w:tcPr>
          <w:p w14:paraId="0F453DE2" w14:textId="77777777" w:rsidR="00CF0B8B" w:rsidRDefault="00CF0B8B">
            <w:pPr>
              <w:jc w:val="both"/>
              <w:rPr>
                <w:sz w:val="16"/>
                <w:szCs w:val="16"/>
              </w:rPr>
            </w:pPr>
            <w:r>
              <w:rPr>
                <w:color w:val="000000"/>
                <w:sz w:val="16"/>
                <w:szCs w:val="16"/>
              </w:rPr>
              <w:t>Baiden et al. (2021) [4]</w:t>
            </w:r>
          </w:p>
        </w:tc>
        <w:tc>
          <w:tcPr>
            <w:tcW w:w="6" w:type="dxa"/>
            <w:hideMark/>
          </w:tcPr>
          <w:p w14:paraId="6E63C883" w14:textId="19D62C87" w:rsidR="00CF0B8B" w:rsidRDefault="006655D6">
            <w:pPr>
              <w:pStyle w:val="NormalWeb"/>
              <w:spacing w:before="0" w:beforeAutospacing="0" w:after="0" w:afterAutospacing="0"/>
              <w:textAlignment w:val="baseline"/>
              <w:rPr>
                <w:color w:val="000000"/>
                <w:sz w:val="16"/>
                <w:szCs w:val="16"/>
              </w:rPr>
            </w:pPr>
            <w:r>
              <w:rPr>
                <w:color w:val="000000"/>
                <w:sz w:val="16"/>
                <w:szCs w:val="16"/>
              </w:rPr>
              <w:t>ACE score</w:t>
            </w:r>
            <w:r w:rsidR="00CF0B8B">
              <w:rPr>
                <w:color w:val="000000"/>
                <w:sz w:val="16"/>
                <w:szCs w:val="16"/>
              </w:rPr>
              <w:t xml:space="preserve"> (number of ACE: 0, 1, 2+), Primary caregiver’s level of education, Poverty level, Receipt of food assistance, Self-rated physical/mental health of primary caregiver</w:t>
            </w:r>
          </w:p>
        </w:tc>
        <w:tc>
          <w:tcPr>
            <w:tcW w:w="6" w:type="dxa"/>
            <w:hideMark/>
          </w:tcPr>
          <w:p w14:paraId="05103963" w14:textId="77777777" w:rsidR="00CF0B8B" w:rsidRDefault="00CF0B8B">
            <w:pPr>
              <w:pStyle w:val="NormalWeb"/>
              <w:spacing w:after="0" w:afterAutospacing="0"/>
              <w:jc w:val="both"/>
              <w:rPr>
                <w:sz w:val="16"/>
                <w:szCs w:val="16"/>
              </w:rPr>
            </w:pPr>
            <w:r>
              <w:rPr>
                <w:color w:val="000000"/>
                <w:sz w:val="16"/>
                <w:szCs w:val="16"/>
              </w:rPr>
              <w:t>Multinomial logistic regression, food insecurity as the response variable.</w:t>
            </w:r>
          </w:p>
        </w:tc>
        <w:tc>
          <w:tcPr>
            <w:tcW w:w="6" w:type="dxa"/>
            <w:hideMark/>
          </w:tcPr>
          <w:p w14:paraId="5A763EBD" w14:textId="77777777" w:rsidR="00CF0B8B" w:rsidRDefault="00CF0B8B">
            <w:pPr>
              <w:jc w:val="both"/>
              <w:rPr>
                <w:sz w:val="16"/>
                <w:szCs w:val="16"/>
              </w:rPr>
            </w:pPr>
            <w:r>
              <w:rPr>
                <w:color w:val="000000"/>
                <w:sz w:val="16"/>
                <w:szCs w:val="16"/>
              </w:rPr>
              <w:t>National Survey of Children’s Health</w:t>
            </w:r>
          </w:p>
        </w:tc>
        <w:tc>
          <w:tcPr>
            <w:tcW w:w="6" w:type="dxa"/>
            <w:hideMark/>
          </w:tcPr>
          <w:p w14:paraId="0551C636" w14:textId="77777777" w:rsidR="00CF0B8B" w:rsidRDefault="00CF0B8B">
            <w:pPr>
              <w:jc w:val="both"/>
              <w:rPr>
                <w:sz w:val="16"/>
                <w:szCs w:val="16"/>
              </w:rPr>
            </w:pPr>
            <w:r>
              <w:rPr>
                <w:color w:val="000000"/>
                <w:sz w:val="16"/>
                <w:szCs w:val="16"/>
              </w:rPr>
              <w:t>0-5</w:t>
            </w:r>
          </w:p>
        </w:tc>
      </w:tr>
      <w:tr w:rsidR="00CF0B8B" w14:paraId="5CD3F8AE" w14:textId="77777777" w:rsidTr="00CF0B8B">
        <w:trPr>
          <w:trHeight w:val="337"/>
        </w:trPr>
        <w:tc>
          <w:tcPr>
            <w:tcW w:w="6" w:type="dxa"/>
            <w:hideMark/>
          </w:tcPr>
          <w:p w14:paraId="4B98FC9E" w14:textId="77777777" w:rsidR="00CF0B8B" w:rsidRDefault="00CF0B8B">
            <w:pPr>
              <w:spacing w:after="240"/>
              <w:jc w:val="both"/>
              <w:rPr>
                <w:sz w:val="16"/>
                <w:szCs w:val="16"/>
              </w:rPr>
            </w:pPr>
            <w:r>
              <w:rPr>
                <w:color w:val="000000"/>
                <w:sz w:val="16"/>
                <w:szCs w:val="16"/>
              </w:rPr>
              <w:t>Jackson et al. (2019) [6]</w:t>
            </w:r>
          </w:p>
        </w:tc>
        <w:tc>
          <w:tcPr>
            <w:tcW w:w="6" w:type="dxa"/>
            <w:hideMark/>
          </w:tcPr>
          <w:p w14:paraId="47201D6D" w14:textId="77777777" w:rsidR="00CF0B8B" w:rsidRDefault="00CF0B8B">
            <w:pPr>
              <w:pStyle w:val="NormalWeb"/>
              <w:spacing w:before="0" w:beforeAutospacing="0" w:after="0" w:afterAutospacing="0"/>
              <w:textAlignment w:val="baseline"/>
              <w:rPr>
                <w:color w:val="000000"/>
                <w:sz w:val="16"/>
                <w:szCs w:val="16"/>
              </w:rPr>
            </w:pPr>
            <w:r>
              <w:rPr>
                <w:color w:val="000000"/>
                <w:sz w:val="16"/>
                <w:szCs w:val="16"/>
              </w:rPr>
              <w:t>Cumulative ACEs (1, 2, 3+), Individual ACEs</w:t>
            </w:r>
          </w:p>
        </w:tc>
        <w:tc>
          <w:tcPr>
            <w:tcW w:w="6" w:type="dxa"/>
            <w:hideMark/>
          </w:tcPr>
          <w:p w14:paraId="3615CB3F" w14:textId="77777777" w:rsidR="00CF0B8B" w:rsidRDefault="00CF0B8B">
            <w:pPr>
              <w:pStyle w:val="NormalWeb"/>
              <w:spacing w:before="0" w:beforeAutospacing="0" w:after="240" w:afterAutospacing="0"/>
              <w:jc w:val="both"/>
              <w:rPr>
                <w:sz w:val="16"/>
                <w:szCs w:val="16"/>
              </w:rPr>
            </w:pPr>
            <w:r>
              <w:rPr>
                <w:color w:val="000000"/>
                <w:sz w:val="16"/>
                <w:szCs w:val="16"/>
              </w:rPr>
              <w:t>Multinomial logistic regression, food insecurity and ACEs association</w:t>
            </w:r>
          </w:p>
        </w:tc>
        <w:tc>
          <w:tcPr>
            <w:tcW w:w="6" w:type="dxa"/>
            <w:hideMark/>
          </w:tcPr>
          <w:p w14:paraId="7D22F1E5" w14:textId="77777777" w:rsidR="00CF0B8B" w:rsidRDefault="00CF0B8B">
            <w:pPr>
              <w:spacing w:after="240"/>
              <w:jc w:val="both"/>
              <w:rPr>
                <w:sz w:val="16"/>
                <w:szCs w:val="16"/>
              </w:rPr>
            </w:pPr>
            <w:r>
              <w:rPr>
                <w:color w:val="000000"/>
                <w:sz w:val="16"/>
                <w:szCs w:val="16"/>
              </w:rPr>
              <w:t>National Survey of children's Health</w:t>
            </w:r>
          </w:p>
        </w:tc>
        <w:tc>
          <w:tcPr>
            <w:tcW w:w="6" w:type="dxa"/>
            <w:hideMark/>
          </w:tcPr>
          <w:p w14:paraId="40A6DF5E" w14:textId="77777777" w:rsidR="00CF0B8B" w:rsidRDefault="00CF0B8B">
            <w:pPr>
              <w:spacing w:after="240"/>
              <w:jc w:val="both"/>
              <w:rPr>
                <w:sz w:val="16"/>
                <w:szCs w:val="16"/>
              </w:rPr>
            </w:pPr>
            <w:r>
              <w:rPr>
                <w:color w:val="000000"/>
                <w:sz w:val="16"/>
                <w:szCs w:val="16"/>
              </w:rPr>
              <w:t>-</w:t>
            </w:r>
          </w:p>
        </w:tc>
      </w:tr>
      <w:tr w:rsidR="00CF0B8B" w14:paraId="558D5EB1" w14:textId="77777777" w:rsidTr="00CF0B8B">
        <w:trPr>
          <w:trHeight w:val="671"/>
        </w:trPr>
        <w:tc>
          <w:tcPr>
            <w:tcW w:w="6" w:type="dxa"/>
            <w:hideMark/>
          </w:tcPr>
          <w:p w14:paraId="4AF81BC1" w14:textId="77777777" w:rsidR="00CF0B8B" w:rsidRDefault="00CF0B8B">
            <w:pPr>
              <w:spacing w:after="240"/>
              <w:jc w:val="both"/>
              <w:rPr>
                <w:sz w:val="16"/>
                <w:szCs w:val="16"/>
              </w:rPr>
            </w:pPr>
            <w:r>
              <w:rPr>
                <w:color w:val="000000"/>
                <w:sz w:val="16"/>
                <w:szCs w:val="16"/>
              </w:rPr>
              <w:t>Drennen et al. (2019) [7]</w:t>
            </w:r>
          </w:p>
        </w:tc>
        <w:tc>
          <w:tcPr>
            <w:tcW w:w="6" w:type="dxa"/>
            <w:hideMark/>
          </w:tcPr>
          <w:p w14:paraId="2B4D8E36" w14:textId="77777777" w:rsidR="00CF0B8B" w:rsidRDefault="00CF0B8B">
            <w:pPr>
              <w:pStyle w:val="NormalWeb"/>
              <w:spacing w:before="0" w:beforeAutospacing="0" w:after="0" w:afterAutospacing="0"/>
              <w:textAlignment w:val="baseline"/>
              <w:rPr>
                <w:color w:val="000000"/>
                <w:sz w:val="16"/>
                <w:szCs w:val="16"/>
              </w:rPr>
            </w:pPr>
            <w:r>
              <w:rPr>
                <w:color w:val="000000"/>
                <w:sz w:val="16"/>
                <w:szCs w:val="16"/>
              </w:rPr>
              <w:t>Associated: child health and developmental risk reported by a caregiver, Not associated: obesity, underweight, stunting.</w:t>
            </w:r>
          </w:p>
        </w:tc>
        <w:tc>
          <w:tcPr>
            <w:tcW w:w="6" w:type="dxa"/>
            <w:hideMark/>
          </w:tcPr>
          <w:p w14:paraId="595571F3" w14:textId="77777777" w:rsidR="00CF0B8B" w:rsidRDefault="00CF0B8B">
            <w:pPr>
              <w:spacing w:after="240"/>
              <w:jc w:val="both"/>
              <w:rPr>
                <w:sz w:val="16"/>
                <w:szCs w:val="16"/>
              </w:rPr>
            </w:pPr>
            <w:r>
              <w:rPr>
                <w:color w:val="000000"/>
                <w:sz w:val="16"/>
                <w:szCs w:val="16"/>
              </w:rPr>
              <w:t>Multivariable logistic regression </w:t>
            </w:r>
          </w:p>
        </w:tc>
        <w:tc>
          <w:tcPr>
            <w:tcW w:w="6" w:type="dxa"/>
            <w:hideMark/>
          </w:tcPr>
          <w:p w14:paraId="3E016A4B" w14:textId="77777777" w:rsidR="00CF0B8B" w:rsidRDefault="00CF0B8B">
            <w:pPr>
              <w:spacing w:after="240"/>
              <w:jc w:val="both"/>
              <w:rPr>
                <w:sz w:val="16"/>
                <w:szCs w:val="16"/>
              </w:rPr>
            </w:pPr>
            <w:r>
              <w:rPr>
                <w:color w:val="000000"/>
                <w:sz w:val="16"/>
                <w:szCs w:val="16"/>
              </w:rPr>
              <w:t>Household Food Security Survey Module</w:t>
            </w:r>
          </w:p>
        </w:tc>
        <w:tc>
          <w:tcPr>
            <w:tcW w:w="6" w:type="dxa"/>
            <w:hideMark/>
          </w:tcPr>
          <w:p w14:paraId="5757921E" w14:textId="77777777" w:rsidR="00CF0B8B" w:rsidRDefault="00CF0B8B">
            <w:pPr>
              <w:spacing w:after="240"/>
              <w:jc w:val="both"/>
              <w:rPr>
                <w:sz w:val="16"/>
                <w:szCs w:val="16"/>
              </w:rPr>
            </w:pPr>
            <w:r>
              <w:rPr>
                <w:color w:val="000000"/>
                <w:sz w:val="16"/>
                <w:szCs w:val="16"/>
              </w:rPr>
              <w:t>0-4</w:t>
            </w:r>
          </w:p>
        </w:tc>
      </w:tr>
      <w:tr w:rsidR="00CF0B8B" w14:paraId="66148760" w14:textId="77777777" w:rsidTr="00CF0B8B">
        <w:trPr>
          <w:trHeight w:val="337"/>
        </w:trPr>
        <w:tc>
          <w:tcPr>
            <w:tcW w:w="6" w:type="dxa"/>
            <w:hideMark/>
          </w:tcPr>
          <w:p w14:paraId="2B768551" w14:textId="77777777" w:rsidR="00CF0B8B" w:rsidRDefault="00CF0B8B">
            <w:pPr>
              <w:spacing w:after="240"/>
              <w:jc w:val="both"/>
              <w:rPr>
                <w:sz w:val="16"/>
                <w:szCs w:val="16"/>
              </w:rPr>
            </w:pPr>
            <w:r>
              <w:rPr>
                <w:color w:val="000000"/>
                <w:sz w:val="16"/>
                <w:szCs w:val="16"/>
              </w:rPr>
              <w:t>Thomas et al. (2019) [5]</w:t>
            </w:r>
          </w:p>
        </w:tc>
        <w:tc>
          <w:tcPr>
            <w:tcW w:w="6" w:type="dxa"/>
            <w:hideMark/>
          </w:tcPr>
          <w:p w14:paraId="7CE5462B" w14:textId="77777777" w:rsidR="00CF0B8B" w:rsidRDefault="00CF0B8B">
            <w:pPr>
              <w:pStyle w:val="NormalWeb"/>
              <w:spacing w:before="0" w:beforeAutospacing="0" w:after="0" w:afterAutospacing="0"/>
              <w:jc w:val="both"/>
              <w:textAlignment w:val="baseline"/>
              <w:rPr>
                <w:color w:val="000000"/>
                <w:sz w:val="16"/>
                <w:szCs w:val="16"/>
              </w:rPr>
            </w:pPr>
            <w:r>
              <w:rPr>
                <w:color w:val="000000"/>
                <w:sz w:val="16"/>
                <w:szCs w:val="16"/>
              </w:rPr>
              <w:t>General health: scale from 1  (poor) to 5 (excellent), Chronic health (asthma, diabetes), Acute health (respiratory or stomach problems)</w:t>
            </w:r>
          </w:p>
          <w:p w14:paraId="02C1E659" w14:textId="77777777" w:rsidR="00CF0B8B" w:rsidRDefault="00CF0B8B">
            <w:pPr>
              <w:spacing w:after="240"/>
              <w:jc w:val="both"/>
              <w:rPr>
                <w:sz w:val="16"/>
                <w:szCs w:val="16"/>
              </w:rPr>
            </w:pPr>
            <w:r>
              <w:rPr>
                <w:color w:val="000000"/>
                <w:sz w:val="16"/>
                <w:szCs w:val="16"/>
              </w:rPr>
              <w:t>Healthcare access</w:t>
            </w:r>
          </w:p>
        </w:tc>
        <w:tc>
          <w:tcPr>
            <w:tcW w:w="6" w:type="dxa"/>
            <w:hideMark/>
          </w:tcPr>
          <w:p w14:paraId="63AE8839" w14:textId="77777777" w:rsidR="00CF0B8B" w:rsidRDefault="00CF0B8B">
            <w:pPr>
              <w:spacing w:after="240"/>
              <w:jc w:val="both"/>
              <w:rPr>
                <w:sz w:val="16"/>
                <w:szCs w:val="16"/>
              </w:rPr>
            </w:pPr>
            <w:r>
              <w:rPr>
                <w:color w:val="000000"/>
                <w:sz w:val="16"/>
                <w:szCs w:val="16"/>
              </w:rPr>
              <w:t>Inverse probability of treatment weighting, to get the relation between food insecurity and these factors.</w:t>
            </w:r>
          </w:p>
        </w:tc>
        <w:tc>
          <w:tcPr>
            <w:tcW w:w="6" w:type="dxa"/>
          </w:tcPr>
          <w:p w14:paraId="39ACCCC6" w14:textId="77777777" w:rsidR="00CF0B8B" w:rsidRDefault="00CF0B8B">
            <w:pPr>
              <w:pStyle w:val="NormalWeb"/>
              <w:jc w:val="both"/>
              <w:rPr>
                <w:sz w:val="16"/>
                <w:szCs w:val="16"/>
              </w:rPr>
            </w:pPr>
            <w:r>
              <w:rPr>
                <w:color w:val="000000"/>
                <w:sz w:val="16"/>
                <w:szCs w:val="16"/>
              </w:rPr>
              <w:t>National Health Interview Study (NHIS)</w:t>
            </w:r>
          </w:p>
          <w:p w14:paraId="35389F26" w14:textId="77777777" w:rsidR="00CF0B8B" w:rsidRDefault="00CF0B8B">
            <w:pPr>
              <w:spacing w:after="240"/>
              <w:jc w:val="both"/>
              <w:rPr>
                <w:sz w:val="16"/>
                <w:szCs w:val="16"/>
              </w:rPr>
            </w:pPr>
          </w:p>
        </w:tc>
        <w:tc>
          <w:tcPr>
            <w:tcW w:w="6" w:type="dxa"/>
            <w:hideMark/>
          </w:tcPr>
          <w:p w14:paraId="583E38C3" w14:textId="77777777" w:rsidR="00CF0B8B" w:rsidRDefault="00CF0B8B">
            <w:pPr>
              <w:spacing w:after="240"/>
              <w:jc w:val="both"/>
              <w:rPr>
                <w:sz w:val="16"/>
                <w:szCs w:val="16"/>
              </w:rPr>
            </w:pPr>
            <w:r>
              <w:rPr>
                <w:color w:val="000000"/>
                <w:sz w:val="16"/>
                <w:szCs w:val="16"/>
              </w:rPr>
              <w:t>2-17</w:t>
            </w:r>
          </w:p>
        </w:tc>
      </w:tr>
      <w:tr w:rsidR="00CF0B8B" w14:paraId="72F04E64" w14:textId="77777777" w:rsidTr="00CF0B8B">
        <w:trPr>
          <w:trHeight w:val="337"/>
        </w:trPr>
        <w:tc>
          <w:tcPr>
            <w:tcW w:w="6" w:type="dxa"/>
            <w:hideMark/>
          </w:tcPr>
          <w:p w14:paraId="3C9A555A" w14:textId="77777777" w:rsidR="00CF0B8B" w:rsidRDefault="00CF0B8B">
            <w:pPr>
              <w:spacing w:after="240"/>
              <w:jc w:val="both"/>
              <w:rPr>
                <w:color w:val="000000"/>
                <w:sz w:val="16"/>
                <w:szCs w:val="16"/>
              </w:rPr>
            </w:pPr>
            <w:r>
              <w:rPr>
                <w:color w:val="000000"/>
                <w:sz w:val="16"/>
                <w:szCs w:val="16"/>
              </w:rPr>
              <w:t>Jih et al. (2018) [8]</w:t>
            </w:r>
          </w:p>
        </w:tc>
        <w:tc>
          <w:tcPr>
            <w:tcW w:w="6" w:type="dxa"/>
            <w:hideMark/>
          </w:tcPr>
          <w:p w14:paraId="07C9319E" w14:textId="77777777" w:rsidR="00CF0B8B" w:rsidRDefault="00CF0B8B">
            <w:pPr>
              <w:pStyle w:val="NormalWeb"/>
              <w:spacing w:before="0" w:beforeAutospacing="0" w:after="0" w:afterAutospacing="0"/>
              <w:textAlignment w:val="baseline"/>
              <w:rPr>
                <w:color w:val="000000"/>
                <w:sz w:val="16"/>
                <w:szCs w:val="16"/>
              </w:rPr>
            </w:pPr>
            <w:r>
              <w:rPr>
                <w:color w:val="000000"/>
                <w:sz w:val="16"/>
                <w:szCs w:val="16"/>
              </w:rPr>
              <w:t>Hypertension, Diabetes, Depression, Vision impairment, significant pain</w:t>
            </w:r>
          </w:p>
        </w:tc>
        <w:tc>
          <w:tcPr>
            <w:tcW w:w="6" w:type="dxa"/>
            <w:hideMark/>
          </w:tcPr>
          <w:p w14:paraId="4C813EA8" w14:textId="77777777" w:rsidR="00CF0B8B" w:rsidRDefault="00CF0B8B">
            <w:pPr>
              <w:spacing w:after="240"/>
              <w:jc w:val="both"/>
              <w:rPr>
                <w:color w:val="000000"/>
                <w:sz w:val="16"/>
                <w:szCs w:val="16"/>
              </w:rPr>
            </w:pPr>
            <w:r>
              <w:rPr>
                <w:color w:val="000000"/>
                <w:sz w:val="16"/>
                <w:szCs w:val="16"/>
              </w:rPr>
              <w:t>Multivariate logistic model</w:t>
            </w:r>
          </w:p>
        </w:tc>
        <w:tc>
          <w:tcPr>
            <w:tcW w:w="6" w:type="dxa"/>
            <w:hideMark/>
          </w:tcPr>
          <w:p w14:paraId="154D9F15" w14:textId="77777777" w:rsidR="00CF0B8B" w:rsidRDefault="00CF0B8B">
            <w:pPr>
              <w:pStyle w:val="NormalWeb"/>
              <w:spacing w:before="0" w:beforeAutospacing="0" w:after="0" w:afterAutospacing="0"/>
              <w:rPr>
                <w:sz w:val="16"/>
                <w:szCs w:val="16"/>
              </w:rPr>
            </w:pPr>
            <w:r>
              <w:rPr>
                <w:color w:val="000000"/>
                <w:sz w:val="16"/>
                <w:szCs w:val="16"/>
              </w:rPr>
              <w:t>2013 Health and Retirement Study (HRS), Health Care and Nutrition Study (HCNS)</w:t>
            </w:r>
          </w:p>
        </w:tc>
        <w:tc>
          <w:tcPr>
            <w:tcW w:w="6" w:type="dxa"/>
            <w:hideMark/>
          </w:tcPr>
          <w:p w14:paraId="5DDC9942" w14:textId="77777777" w:rsidR="00CF0B8B" w:rsidRDefault="00CF0B8B">
            <w:pPr>
              <w:spacing w:after="240"/>
              <w:jc w:val="both"/>
              <w:rPr>
                <w:color w:val="000000"/>
                <w:sz w:val="16"/>
                <w:szCs w:val="16"/>
              </w:rPr>
            </w:pPr>
            <w:r>
              <w:rPr>
                <w:color w:val="000000"/>
                <w:sz w:val="16"/>
                <w:szCs w:val="16"/>
              </w:rPr>
              <w:t>Above 50 years old</w:t>
            </w:r>
          </w:p>
        </w:tc>
      </w:tr>
      <w:tr w:rsidR="00CF0B8B" w14:paraId="55178079" w14:textId="77777777" w:rsidTr="00CF0B8B">
        <w:trPr>
          <w:trHeight w:val="337"/>
        </w:trPr>
        <w:tc>
          <w:tcPr>
            <w:tcW w:w="6" w:type="dxa"/>
          </w:tcPr>
          <w:p w14:paraId="07FC553B" w14:textId="77777777" w:rsidR="00CF0B8B" w:rsidRDefault="00CF0B8B">
            <w:pPr>
              <w:rPr>
                <w:color w:val="000000"/>
                <w:sz w:val="16"/>
                <w:szCs w:val="16"/>
              </w:rPr>
            </w:pPr>
            <w:r>
              <w:rPr>
                <w:color w:val="000000"/>
                <w:sz w:val="16"/>
                <w:szCs w:val="16"/>
              </w:rPr>
              <w:t>Jackson et al. (2019) [9]</w:t>
            </w:r>
          </w:p>
          <w:p w14:paraId="765E787F" w14:textId="77777777" w:rsidR="00CF0B8B" w:rsidRDefault="00CF0B8B">
            <w:pPr>
              <w:spacing w:after="240"/>
              <w:jc w:val="both"/>
              <w:rPr>
                <w:color w:val="000000"/>
                <w:sz w:val="16"/>
                <w:szCs w:val="16"/>
              </w:rPr>
            </w:pPr>
          </w:p>
        </w:tc>
        <w:tc>
          <w:tcPr>
            <w:tcW w:w="6" w:type="dxa"/>
            <w:hideMark/>
          </w:tcPr>
          <w:p w14:paraId="21418598" w14:textId="77777777" w:rsidR="00CF0B8B" w:rsidRDefault="00CF0B8B">
            <w:pPr>
              <w:spacing w:after="240"/>
              <w:jc w:val="both"/>
              <w:rPr>
                <w:color w:val="000000"/>
                <w:sz w:val="16"/>
                <w:szCs w:val="16"/>
              </w:rPr>
            </w:pPr>
            <w:r>
              <w:rPr>
                <w:color w:val="000000"/>
                <w:sz w:val="16"/>
                <w:szCs w:val="16"/>
              </w:rPr>
              <w:t>Instrumental Activities of Daily Living, Leisure and Social Activities. General Physical Activities</w:t>
            </w:r>
          </w:p>
        </w:tc>
        <w:tc>
          <w:tcPr>
            <w:tcW w:w="6" w:type="dxa"/>
            <w:hideMark/>
          </w:tcPr>
          <w:p w14:paraId="69AEC998" w14:textId="78DA24A0" w:rsidR="00CF0B8B" w:rsidRDefault="00CF0B8B">
            <w:pPr>
              <w:spacing w:after="240"/>
              <w:jc w:val="both"/>
              <w:rPr>
                <w:color w:val="000000"/>
                <w:sz w:val="16"/>
                <w:szCs w:val="16"/>
              </w:rPr>
            </w:pPr>
            <w:r>
              <w:rPr>
                <w:color w:val="000000"/>
                <w:sz w:val="16"/>
                <w:szCs w:val="16"/>
              </w:rPr>
              <w:t xml:space="preserve">Multinomial and logistic regression </w:t>
            </w:r>
            <w:r w:rsidR="000C6BE9">
              <w:rPr>
                <w:color w:val="000000"/>
                <w:sz w:val="16"/>
                <w:szCs w:val="16"/>
              </w:rPr>
              <w:t>models</w:t>
            </w:r>
          </w:p>
        </w:tc>
        <w:tc>
          <w:tcPr>
            <w:tcW w:w="6" w:type="dxa"/>
            <w:hideMark/>
          </w:tcPr>
          <w:p w14:paraId="7178C0F4" w14:textId="77777777" w:rsidR="00CF0B8B" w:rsidRDefault="00CF0B8B">
            <w:pPr>
              <w:spacing w:after="240"/>
              <w:jc w:val="both"/>
              <w:rPr>
                <w:color w:val="000000"/>
                <w:sz w:val="16"/>
                <w:szCs w:val="16"/>
                <w:lang w:val="en-IN"/>
              </w:rPr>
            </w:pPr>
            <w:r>
              <w:rPr>
                <w:color w:val="000000"/>
                <w:sz w:val="16"/>
                <w:szCs w:val="16"/>
                <w:lang w:val="en-IN"/>
              </w:rPr>
              <w:t>National Health and Nutrition Examination Survey (2007–2012)</w:t>
            </w:r>
          </w:p>
        </w:tc>
        <w:tc>
          <w:tcPr>
            <w:tcW w:w="6" w:type="dxa"/>
            <w:hideMark/>
          </w:tcPr>
          <w:p w14:paraId="408F50B2" w14:textId="77777777" w:rsidR="00CF0B8B" w:rsidRDefault="00CF0B8B">
            <w:pPr>
              <w:spacing w:after="240"/>
              <w:jc w:val="both"/>
              <w:rPr>
                <w:color w:val="000000"/>
                <w:sz w:val="16"/>
                <w:szCs w:val="16"/>
              </w:rPr>
            </w:pPr>
            <w:r>
              <w:rPr>
                <w:color w:val="000000"/>
                <w:sz w:val="16"/>
                <w:szCs w:val="16"/>
              </w:rPr>
              <w:t>Above 60 years old</w:t>
            </w:r>
          </w:p>
        </w:tc>
      </w:tr>
      <w:tr w:rsidR="00CF0B8B" w14:paraId="30AF26B5" w14:textId="77777777" w:rsidTr="00CF0B8B">
        <w:trPr>
          <w:trHeight w:val="337"/>
        </w:trPr>
        <w:tc>
          <w:tcPr>
            <w:tcW w:w="6" w:type="dxa"/>
            <w:hideMark/>
          </w:tcPr>
          <w:p w14:paraId="01A88A90" w14:textId="77777777" w:rsidR="00CF0B8B" w:rsidRDefault="00CF0B8B">
            <w:pPr>
              <w:spacing w:after="240"/>
              <w:jc w:val="both"/>
              <w:rPr>
                <w:color w:val="000000"/>
                <w:sz w:val="16"/>
                <w:szCs w:val="16"/>
              </w:rPr>
            </w:pPr>
            <w:r>
              <w:rPr>
                <w:color w:val="000000"/>
                <w:sz w:val="16"/>
                <w:szCs w:val="16"/>
              </w:rPr>
              <w:t>S. L. Goldberg and B. E. Mawn (2015) [10]</w:t>
            </w:r>
          </w:p>
        </w:tc>
        <w:tc>
          <w:tcPr>
            <w:tcW w:w="6" w:type="dxa"/>
            <w:hideMark/>
          </w:tcPr>
          <w:p w14:paraId="39D8594E" w14:textId="77777777" w:rsidR="00CF0B8B" w:rsidRDefault="00CF0B8B">
            <w:pPr>
              <w:pStyle w:val="NormalWeb"/>
              <w:spacing w:before="0" w:beforeAutospacing="0" w:after="0" w:afterAutospacing="0"/>
              <w:textAlignment w:val="baseline"/>
              <w:rPr>
                <w:color w:val="000000"/>
                <w:sz w:val="16"/>
                <w:szCs w:val="16"/>
              </w:rPr>
            </w:pPr>
            <w:r>
              <w:rPr>
                <w:color w:val="000000"/>
                <w:sz w:val="16"/>
                <w:szCs w:val="16"/>
              </w:rPr>
              <w:t>Financial conditions, Depression, Demography</w:t>
            </w:r>
          </w:p>
        </w:tc>
        <w:tc>
          <w:tcPr>
            <w:tcW w:w="6" w:type="dxa"/>
            <w:hideMark/>
          </w:tcPr>
          <w:p w14:paraId="3BE6D882" w14:textId="77777777" w:rsidR="00CF0B8B" w:rsidRDefault="00CF0B8B">
            <w:pPr>
              <w:spacing w:after="240"/>
              <w:jc w:val="both"/>
              <w:rPr>
                <w:color w:val="000000"/>
                <w:sz w:val="16"/>
                <w:szCs w:val="16"/>
              </w:rPr>
            </w:pPr>
            <w:r>
              <w:rPr>
                <w:color w:val="000000"/>
                <w:sz w:val="16"/>
                <w:szCs w:val="16"/>
              </w:rPr>
              <w:t>Statistical modeling and logistic regression</w:t>
            </w:r>
          </w:p>
        </w:tc>
        <w:tc>
          <w:tcPr>
            <w:tcW w:w="6" w:type="dxa"/>
            <w:hideMark/>
          </w:tcPr>
          <w:p w14:paraId="220CC9FF" w14:textId="77777777" w:rsidR="00CF0B8B" w:rsidRDefault="00CF0B8B">
            <w:pPr>
              <w:spacing w:after="240"/>
              <w:jc w:val="both"/>
              <w:rPr>
                <w:color w:val="000000"/>
                <w:sz w:val="16"/>
                <w:szCs w:val="16"/>
              </w:rPr>
            </w:pPr>
            <w:r>
              <w:rPr>
                <w:color w:val="000000"/>
                <w:sz w:val="16"/>
                <w:szCs w:val="16"/>
              </w:rPr>
              <w:t>National Health and Nutrition Examination Survey (NHANES)</w:t>
            </w:r>
          </w:p>
        </w:tc>
        <w:tc>
          <w:tcPr>
            <w:tcW w:w="6" w:type="dxa"/>
            <w:hideMark/>
          </w:tcPr>
          <w:p w14:paraId="5FADFC26" w14:textId="77777777" w:rsidR="00CF0B8B" w:rsidRDefault="00CF0B8B">
            <w:pPr>
              <w:spacing w:after="240"/>
              <w:jc w:val="both"/>
              <w:rPr>
                <w:color w:val="000000"/>
                <w:sz w:val="16"/>
                <w:szCs w:val="16"/>
              </w:rPr>
            </w:pPr>
            <w:r>
              <w:rPr>
                <w:color w:val="000000"/>
                <w:sz w:val="16"/>
                <w:szCs w:val="16"/>
              </w:rPr>
              <w:t>Above 60 years old</w:t>
            </w:r>
          </w:p>
        </w:tc>
      </w:tr>
      <w:tr w:rsidR="00CF0B8B" w14:paraId="18264668" w14:textId="77777777" w:rsidTr="00CF0B8B">
        <w:trPr>
          <w:trHeight w:val="337"/>
        </w:trPr>
        <w:tc>
          <w:tcPr>
            <w:tcW w:w="6" w:type="dxa"/>
            <w:hideMark/>
          </w:tcPr>
          <w:p w14:paraId="4A6CAC9E" w14:textId="77777777" w:rsidR="00CF0B8B" w:rsidRDefault="00CF0B8B">
            <w:pPr>
              <w:spacing w:after="240"/>
              <w:jc w:val="both"/>
              <w:rPr>
                <w:color w:val="000000"/>
                <w:sz w:val="16"/>
                <w:szCs w:val="16"/>
              </w:rPr>
            </w:pPr>
            <w:r>
              <w:rPr>
                <w:color w:val="000000"/>
                <w:sz w:val="16"/>
                <w:szCs w:val="16"/>
              </w:rPr>
              <w:t>Vilar-Compte et al. (2017) [11]</w:t>
            </w:r>
          </w:p>
        </w:tc>
        <w:tc>
          <w:tcPr>
            <w:tcW w:w="6" w:type="dxa"/>
            <w:hideMark/>
          </w:tcPr>
          <w:p w14:paraId="46271273" w14:textId="77777777" w:rsidR="00CF0B8B" w:rsidRDefault="00CF0B8B">
            <w:pPr>
              <w:spacing w:after="240"/>
              <w:jc w:val="both"/>
              <w:rPr>
                <w:color w:val="000000"/>
                <w:sz w:val="16"/>
                <w:szCs w:val="16"/>
              </w:rPr>
            </w:pPr>
            <w:r>
              <w:rPr>
                <w:color w:val="000000"/>
                <w:sz w:val="16"/>
                <w:szCs w:val="16"/>
              </w:rPr>
              <w:softHyphen/>
            </w:r>
          </w:p>
        </w:tc>
        <w:tc>
          <w:tcPr>
            <w:tcW w:w="6" w:type="dxa"/>
            <w:hideMark/>
          </w:tcPr>
          <w:p w14:paraId="63FB9294" w14:textId="77777777" w:rsidR="00CF0B8B" w:rsidRDefault="00CF0B8B">
            <w:pPr>
              <w:spacing w:after="240"/>
              <w:jc w:val="both"/>
              <w:rPr>
                <w:color w:val="000000"/>
                <w:sz w:val="16"/>
                <w:szCs w:val="16"/>
              </w:rPr>
            </w:pPr>
            <w:r>
              <w:rPr>
                <w:color w:val="000000"/>
                <w:sz w:val="16"/>
                <w:szCs w:val="16"/>
              </w:rPr>
              <w:t>A literature how food security measures relate to policies</w:t>
            </w:r>
          </w:p>
        </w:tc>
        <w:tc>
          <w:tcPr>
            <w:tcW w:w="6" w:type="dxa"/>
          </w:tcPr>
          <w:p w14:paraId="45331893" w14:textId="77777777" w:rsidR="00CF0B8B" w:rsidRDefault="00CF0B8B">
            <w:pPr>
              <w:spacing w:after="240"/>
              <w:jc w:val="both"/>
              <w:rPr>
                <w:color w:val="000000"/>
                <w:sz w:val="16"/>
                <w:szCs w:val="16"/>
              </w:rPr>
            </w:pPr>
          </w:p>
        </w:tc>
        <w:tc>
          <w:tcPr>
            <w:tcW w:w="6" w:type="dxa"/>
            <w:hideMark/>
          </w:tcPr>
          <w:p w14:paraId="54428CF4" w14:textId="77777777" w:rsidR="00CF0B8B" w:rsidRDefault="00CF0B8B">
            <w:pPr>
              <w:spacing w:after="240"/>
              <w:jc w:val="both"/>
              <w:rPr>
                <w:color w:val="000000"/>
                <w:sz w:val="16"/>
                <w:szCs w:val="16"/>
              </w:rPr>
            </w:pPr>
            <w:r>
              <w:rPr>
                <w:color w:val="000000"/>
                <w:sz w:val="16"/>
                <w:szCs w:val="16"/>
              </w:rPr>
              <w:t>Above 60 years old</w:t>
            </w:r>
          </w:p>
        </w:tc>
      </w:tr>
      <w:tr w:rsidR="00CF0B8B" w14:paraId="47A61A1A" w14:textId="77777777" w:rsidTr="00CF0B8B">
        <w:trPr>
          <w:trHeight w:val="337"/>
        </w:trPr>
        <w:tc>
          <w:tcPr>
            <w:tcW w:w="6" w:type="dxa"/>
            <w:tcBorders>
              <w:top w:val="nil"/>
              <w:left w:val="nil"/>
              <w:bottom w:val="single" w:sz="12" w:space="0" w:color="auto"/>
              <w:right w:val="nil"/>
            </w:tcBorders>
            <w:hideMark/>
          </w:tcPr>
          <w:p w14:paraId="0F67CE7D" w14:textId="77777777" w:rsidR="00CF0B8B" w:rsidRDefault="00CF0B8B">
            <w:pPr>
              <w:spacing w:after="240"/>
              <w:jc w:val="both"/>
              <w:rPr>
                <w:color w:val="000000"/>
                <w:sz w:val="16"/>
                <w:szCs w:val="16"/>
              </w:rPr>
            </w:pPr>
            <w:r>
              <w:rPr>
                <w:color w:val="000000"/>
                <w:sz w:val="16"/>
                <w:szCs w:val="16"/>
              </w:rPr>
              <w:t>J. S. Lee (2013) [12]</w:t>
            </w:r>
          </w:p>
        </w:tc>
        <w:tc>
          <w:tcPr>
            <w:tcW w:w="6" w:type="dxa"/>
            <w:tcBorders>
              <w:top w:val="nil"/>
              <w:left w:val="nil"/>
              <w:bottom w:val="single" w:sz="12" w:space="0" w:color="auto"/>
              <w:right w:val="nil"/>
            </w:tcBorders>
            <w:hideMark/>
          </w:tcPr>
          <w:p w14:paraId="1C69488F" w14:textId="77777777" w:rsidR="00CF0B8B" w:rsidRDefault="00CF0B8B">
            <w:pPr>
              <w:spacing w:after="240"/>
              <w:jc w:val="both"/>
              <w:rPr>
                <w:color w:val="000000"/>
                <w:sz w:val="16"/>
                <w:szCs w:val="16"/>
              </w:rPr>
            </w:pPr>
            <w:r>
              <w:rPr>
                <w:color w:val="000000"/>
                <w:sz w:val="16"/>
                <w:szCs w:val="16"/>
              </w:rPr>
              <w:t>Health cost burden</w:t>
            </w:r>
          </w:p>
        </w:tc>
        <w:tc>
          <w:tcPr>
            <w:tcW w:w="6" w:type="dxa"/>
            <w:tcBorders>
              <w:top w:val="nil"/>
              <w:left w:val="nil"/>
              <w:bottom w:val="single" w:sz="12" w:space="0" w:color="auto"/>
              <w:right w:val="nil"/>
            </w:tcBorders>
            <w:hideMark/>
          </w:tcPr>
          <w:p w14:paraId="0E1163CE" w14:textId="77777777" w:rsidR="00CF0B8B" w:rsidRDefault="00CF0B8B">
            <w:pPr>
              <w:spacing w:after="240"/>
              <w:jc w:val="both"/>
              <w:rPr>
                <w:color w:val="000000"/>
                <w:sz w:val="16"/>
                <w:szCs w:val="16"/>
              </w:rPr>
            </w:pPr>
            <w:r>
              <w:rPr>
                <w:color w:val="000000"/>
                <w:sz w:val="16"/>
                <w:szCs w:val="16"/>
              </w:rPr>
              <w:t>Linking national datasets to local and state datasets</w:t>
            </w:r>
          </w:p>
        </w:tc>
        <w:tc>
          <w:tcPr>
            <w:tcW w:w="6" w:type="dxa"/>
            <w:tcBorders>
              <w:top w:val="nil"/>
              <w:left w:val="nil"/>
              <w:bottom w:val="single" w:sz="12" w:space="0" w:color="auto"/>
              <w:right w:val="nil"/>
            </w:tcBorders>
            <w:hideMark/>
          </w:tcPr>
          <w:p w14:paraId="4C2E7EBF" w14:textId="77777777" w:rsidR="00CF0B8B" w:rsidRDefault="00CF0B8B">
            <w:pPr>
              <w:spacing w:after="240"/>
              <w:jc w:val="both"/>
              <w:rPr>
                <w:color w:val="000000"/>
                <w:sz w:val="16"/>
                <w:szCs w:val="16"/>
                <w:lang w:val="en-IN"/>
              </w:rPr>
            </w:pPr>
            <w:r>
              <w:rPr>
                <w:color w:val="000000"/>
                <w:sz w:val="16"/>
                <w:szCs w:val="16"/>
                <w:lang w:val="en-IN"/>
              </w:rPr>
              <w:t>State aging services client database and the Centers for Medicare, Medicaid Services data</w:t>
            </w:r>
          </w:p>
        </w:tc>
        <w:tc>
          <w:tcPr>
            <w:tcW w:w="6" w:type="dxa"/>
            <w:tcBorders>
              <w:top w:val="nil"/>
              <w:left w:val="nil"/>
              <w:bottom w:val="single" w:sz="12" w:space="0" w:color="auto"/>
              <w:right w:val="nil"/>
            </w:tcBorders>
            <w:hideMark/>
          </w:tcPr>
          <w:p w14:paraId="2EC145F8" w14:textId="77777777" w:rsidR="00CF0B8B" w:rsidRDefault="00CF0B8B">
            <w:pPr>
              <w:spacing w:after="240"/>
              <w:jc w:val="both"/>
              <w:rPr>
                <w:color w:val="000000"/>
                <w:sz w:val="16"/>
                <w:szCs w:val="16"/>
              </w:rPr>
            </w:pPr>
            <w:r>
              <w:rPr>
                <w:color w:val="000000"/>
                <w:sz w:val="16"/>
                <w:szCs w:val="16"/>
              </w:rPr>
              <w:t>Above 60 years old</w:t>
            </w:r>
          </w:p>
        </w:tc>
      </w:tr>
    </w:tbl>
    <w:p w14:paraId="7814FC18" w14:textId="30EE7337" w:rsidR="00181958" w:rsidRDefault="00181958" w:rsidP="0009445C">
      <w:pPr>
        <w:pStyle w:val="BodyText"/>
        <w:ind w:firstLine="0"/>
      </w:pPr>
      <w:r>
        <w:br w:type="page"/>
      </w:r>
    </w:p>
    <w:p w14:paraId="7A3E2945" w14:textId="34DF4807" w:rsidR="009303D9" w:rsidRDefault="006A2CF6" w:rsidP="00DB4FD3">
      <w:pPr>
        <w:pStyle w:val="Heading1"/>
        <w:jc w:val="center"/>
      </w:pPr>
      <w:r>
        <w:lastRenderedPageBreak/>
        <w:t>data description</w:t>
      </w:r>
    </w:p>
    <w:p w14:paraId="15C1079C" w14:textId="6ECBB070" w:rsidR="6CCBE94E" w:rsidRDefault="56463BFA" w:rsidP="006D156D">
      <w:pPr>
        <w:pStyle w:val="NormalWeb"/>
        <w:ind w:firstLine="288"/>
        <w:jc w:val="both"/>
        <w:rPr>
          <w:rFonts w:ascii="TimesNewRomanPSMT" w:hAnsi="TimesNewRomanPSMT"/>
          <w:sz w:val="20"/>
          <w:szCs w:val="20"/>
        </w:rPr>
      </w:pPr>
      <w:r w:rsidRPr="56463BFA">
        <w:rPr>
          <w:rFonts w:ascii="TimesNewRomanPSMT" w:hAnsi="TimesNewRomanPSMT"/>
          <w:sz w:val="20"/>
          <w:szCs w:val="20"/>
        </w:rPr>
        <w:t xml:space="preserve">From our initial discussion, we separated our population into three segments based on age and investigated various factors correlated to food insecurity within these segments. However, obtaining reliable data sources to separate adults and older adults incorporated too many errors in our data set. To prevent this, we focused on the county-level food insecurity rates only for adults and children, which were obtained from Feeding America (FA) [25]. FA explains in their technical brief that they source the data from the Current Population Survey (CPS) and the US Department of Agriculture to produce accurate measures for food insecurity, cost per meal, and average food budget shortfall in each state for every year. The cost per meal is derived by using the average amount spent per week by food secure individuals and dividing it by 21 (3 meals per day, seven days a week). The food budget shortfall is an annualized measure of the gap in resources for the people who are food insecure and is calculated at an individual level using the CPS data and then generalized over the population of that county. Equation 1 gives the calculation for the food budget shortfall.  </w:t>
      </w:r>
    </w:p>
    <w:p w14:paraId="2B9CD2CD" w14:textId="6152DF00" w:rsidR="004A6E18" w:rsidRDefault="00617AF1" w:rsidP="009511FF">
      <w:pPr>
        <w:pStyle w:val="NormalWeb"/>
        <w:jc w:val="both"/>
        <w:rPr>
          <w:rFonts w:ascii="TimesNewRomanPSMT" w:hAnsi="TimesNewRomanPSMT"/>
          <w:sz w:val="20"/>
          <w:szCs w:val="20"/>
        </w:rPr>
      </w:pPr>
      <m:oMath>
        <m:r>
          <w:rPr>
            <w:rFonts w:ascii="Cambria Math" w:hAnsi="Cambria Math"/>
            <w:sz w:val="20"/>
            <w:szCs w:val="20"/>
          </w:rPr>
          <m:t>FBS=FIP ×17.25 ×52×7/12</m:t>
        </m:r>
      </m:oMath>
      <w:r w:rsidR="009511FF">
        <w:rPr>
          <w:rFonts w:ascii="TimesNewRomanPSMT" w:hAnsi="TimesNewRomanPSMT"/>
          <w:sz w:val="20"/>
          <w:szCs w:val="20"/>
        </w:rPr>
        <w:tab/>
      </w:r>
      <w:r w:rsidR="00855144">
        <w:rPr>
          <w:rFonts w:ascii="TimesNewRomanPSMT" w:hAnsi="TimesNewRomanPSMT"/>
          <w:sz w:val="20"/>
          <w:szCs w:val="20"/>
        </w:rPr>
        <w:tab/>
      </w:r>
      <w:r w:rsidR="00855144">
        <w:rPr>
          <w:rFonts w:ascii="TimesNewRomanPSMT" w:hAnsi="TimesNewRomanPSMT"/>
          <w:sz w:val="20"/>
          <w:szCs w:val="20"/>
        </w:rPr>
        <w:tab/>
        <w:t xml:space="preserve">         </w:t>
      </w:r>
      <w:r w:rsidR="009511FF">
        <w:rPr>
          <w:rFonts w:ascii="TimesNewRomanPSMT" w:hAnsi="TimesNewRomanPSMT"/>
          <w:sz w:val="20"/>
          <w:szCs w:val="20"/>
        </w:rPr>
        <w:t>(1)</w:t>
      </w:r>
    </w:p>
    <w:p w14:paraId="6D5547B1" w14:textId="3CCB6F2B" w:rsidR="3FD56141" w:rsidRDefault="3FD56141" w:rsidP="006D156D">
      <w:pPr>
        <w:pStyle w:val="NormalWeb"/>
        <w:ind w:firstLine="288"/>
        <w:jc w:val="both"/>
        <w:rPr>
          <w:rFonts w:ascii="TimesNewRomanPSMT" w:hAnsi="TimesNewRomanPSMT"/>
          <w:sz w:val="20"/>
          <w:szCs w:val="20"/>
        </w:rPr>
      </w:pPr>
      <w:r w:rsidRPr="4E07C312">
        <w:rPr>
          <w:rFonts w:ascii="TimesNewRomanPSMT" w:hAnsi="TimesNewRomanPSMT"/>
          <w:sz w:val="20"/>
          <w:szCs w:val="20"/>
        </w:rPr>
        <w:t xml:space="preserve">FBS is Food Budget Shortfall, and FIP is the number of Food Insecure Persons. This is based on evidence that, generally, food insecurity is prevalent on average for seven months a year. As reported by the USDA, $17.25 is the average food budget shortfall for a food-insecure person. Furthermore, the Centre for Medicare &amp; Medicaid Services also maintains a database containing the prevalence of 21 chronic conditions by state, listed in Table </w:t>
      </w:r>
      <w:r w:rsidR="00313CFB">
        <w:rPr>
          <w:rFonts w:ascii="TimesNewRomanPSMT" w:hAnsi="TimesNewRomanPSMT"/>
          <w:sz w:val="20"/>
          <w:szCs w:val="20"/>
        </w:rPr>
        <w:t>2</w:t>
      </w:r>
      <w:r w:rsidRPr="4E07C312">
        <w:rPr>
          <w:rFonts w:ascii="TimesNewRomanPSMT" w:hAnsi="TimesNewRomanPSMT"/>
          <w:sz w:val="20"/>
          <w:szCs w:val="20"/>
        </w:rPr>
        <w:t xml:space="preserve"> [26]. For our study, we matched the prevalence of these diseases by state with the data obtained from FA during 2016- 2020. </w:t>
      </w:r>
      <w:r w:rsidR="00F725B0">
        <w:rPr>
          <w:rFonts w:ascii="TimesNewRomanPSMT" w:hAnsi="TimesNewRomanPSMT"/>
          <w:sz w:val="20"/>
          <w:szCs w:val="20"/>
        </w:rPr>
        <w:t>This data is name DATA 1 primarily concerning adults.</w:t>
      </w:r>
      <w:r w:rsidRPr="4E07C312">
        <w:rPr>
          <w:rFonts w:ascii="TimesNewRomanPSMT" w:hAnsi="TimesNewRomanPSMT"/>
          <w:sz w:val="20"/>
          <w:szCs w:val="20"/>
        </w:rPr>
        <w:t xml:space="preserve"> </w:t>
      </w:r>
    </w:p>
    <w:p w14:paraId="353CDE13" w14:textId="145BDC1C" w:rsidR="00D902D7" w:rsidRDefault="00D902D7" w:rsidP="00D902D7">
      <w:pPr>
        <w:jc w:val="both"/>
        <w:rPr>
          <w:sz w:val="16"/>
          <w:szCs w:val="16"/>
          <w:lang w:val="en-IN"/>
        </w:rPr>
      </w:pPr>
      <w:r>
        <w:rPr>
          <w:sz w:val="16"/>
          <w:szCs w:val="16"/>
          <w:lang w:val="en-IN"/>
        </w:rPr>
        <w:t xml:space="preserve">TABLE </w:t>
      </w:r>
      <w:r w:rsidR="001E1A9E">
        <w:rPr>
          <w:sz w:val="16"/>
          <w:szCs w:val="16"/>
          <w:lang w:val="en-IN"/>
        </w:rPr>
        <w:t>II</w:t>
      </w:r>
      <w:r>
        <w:rPr>
          <w:sz w:val="16"/>
          <w:szCs w:val="16"/>
          <w:lang w:val="en-IN"/>
        </w:rPr>
        <w:t xml:space="preserve">. </w:t>
      </w:r>
    </w:p>
    <w:p w14:paraId="7B205571" w14:textId="77777777" w:rsidR="00D902D7" w:rsidRDefault="00D902D7" w:rsidP="00D902D7">
      <w:pPr>
        <w:jc w:val="both"/>
        <w:rPr>
          <w:sz w:val="16"/>
          <w:szCs w:val="16"/>
          <w:lang w:val="en-IN"/>
        </w:rPr>
      </w:pPr>
      <w:r>
        <w:rPr>
          <w:sz w:val="16"/>
          <w:szCs w:val="16"/>
          <w:lang w:val="en-IN"/>
        </w:rPr>
        <w:t>HEALTH FACTORS CONSIDERED FOR ADULTS</w:t>
      </w:r>
    </w:p>
    <w:tbl>
      <w:tblPr>
        <w:tblStyle w:val="TableGrid"/>
        <w:tblW w:w="4950" w:type="dxa"/>
        <w:tblLayout w:type="fixed"/>
        <w:tblLook w:val="04A0" w:firstRow="1" w:lastRow="0" w:firstColumn="1" w:lastColumn="0" w:noHBand="0" w:noVBand="1"/>
      </w:tblPr>
      <w:tblGrid>
        <w:gridCol w:w="986"/>
        <w:gridCol w:w="849"/>
        <w:gridCol w:w="991"/>
        <w:gridCol w:w="1274"/>
        <w:gridCol w:w="850"/>
      </w:tblGrid>
      <w:tr w:rsidR="00D902D7" w14:paraId="627F9A9C" w14:textId="77777777" w:rsidTr="00D902D7">
        <w:tc>
          <w:tcPr>
            <w:tcW w:w="988" w:type="dxa"/>
            <w:tcBorders>
              <w:top w:val="single" w:sz="4" w:space="0" w:color="auto"/>
              <w:left w:val="single" w:sz="4" w:space="0" w:color="auto"/>
              <w:bottom w:val="single" w:sz="4" w:space="0" w:color="auto"/>
              <w:right w:val="single" w:sz="4" w:space="0" w:color="auto"/>
            </w:tcBorders>
            <w:vAlign w:val="center"/>
            <w:hideMark/>
          </w:tcPr>
          <w:p w14:paraId="227AC863" w14:textId="77777777" w:rsidR="00D902D7" w:rsidRDefault="00D902D7">
            <w:pPr>
              <w:rPr>
                <w:sz w:val="16"/>
                <w:szCs w:val="16"/>
                <w:lang w:val="en-IN"/>
              </w:rPr>
            </w:pPr>
            <w:r>
              <w:rPr>
                <w:sz w:val="16"/>
                <w:szCs w:val="16"/>
              </w:rPr>
              <w:t>Alcohol Abuse</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664D03" w14:textId="77777777" w:rsidR="00D902D7" w:rsidRDefault="00D902D7">
            <w:pPr>
              <w:rPr>
                <w:sz w:val="16"/>
                <w:szCs w:val="16"/>
                <w:lang w:val="en-IN"/>
              </w:rPr>
            </w:pPr>
            <w:r>
              <w:rPr>
                <w:rFonts w:eastAsia="Times New Roman"/>
                <w:color w:val="000000"/>
                <w:sz w:val="16"/>
                <w:szCs w:val="16"/>
              </w:rPr>
              <w:t>Ischemic Heart Disease</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A55E21" w14:textId="77777777" w:rsidR="00D902D7" w:rsidRDefault="00D902D7">
            <w:pPr>
              <w:rPr>
                <w:sz w:val="16"/>
                <w:szCs w:val="16"/>
                <w:lang w:val="en-IN"/>
              </w:rPr>
            </w:pPr>
            <w:r>
              <w:rPr>
                <w:rFonts w:eastAsia="Times New Roman"/>
                <w:color w:val="000000"/>
                <w:sz w:val="16"/>
                <w:szCs w:val="16"/>
              </w:rPr>
              <w:t>Schizophre-nia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19035D" w14:textId="77777777" w:rsidR="00D902D7" w:rsidRDefault="00D902D7">
            <w:pPr>
              <w:rPr>
                <w:sz w:val="16"/>
                <w:szCs w:val="16"/>
                <w:lang w:val="en-IN"/>
              </w:rPr>
            </w:pPr>
            <w:r>
              <w:rPr>
                <w:rFonts w:eastAsia="Times New Roman"/>
                <w:color w:val="000000"/>
                <w:sz w:val="16"/>
                <w:szCs w:val="16"/>
              </w:rPr>
              <w:t>Hyperlipidemia</w:t>
            </w:r>
          </w:p>
        </w:tc>
        <w:tc>
          <w:tcPr>
            <w:tcW w:w="851" w:type="dxa"/>
            <w:tcBorders>
              <w:top w:val="single" w:sz="4" w:space="0" w:color="auto"/>
              <w:left w:val="single" w:sz="4" w:space="0" w:color="auto"/>
              <w:bottom w:val="single" w:sz="4" w:space="0" w:color="auto"/>
              <w:right w:val="single" w:sz="4" w:space="0" w:color="auto"/>
            </w:tcBorders>
            <w:vAlign w:val="center"/>
            <w:hideMark/>
          </w:tcPr>
          <w:p w14:paraId="3FA2C580" w14:textId="77777777" w:rsidR="00D902D7" w:rsidRDefault="00D902D7">
            <w:pPr>
              <w:rPr>
                <w:sz w:val="16"/>
                <w:szCs w:val="16"/>
                <w:lang w:val="en-IN"/>
              </w:rPr>
            </w:pPr>
            <w:r>
              <w:rPr>
                <w:sz w:val="16"/>
                <w:szCs w:val="16"/>
                <w:lang w:val="en-IN"/>
              </w:rPr>
              <w:t>Asthma</w:t>
            </w:r>
          </w:p>
        </w:tc>
      </w:tr>
      <w:tr w:rsidR="00D902D7" w14:paraId="2173745F" w14:textId="77777777" w:rsidTr="00D902D7">
        <w:tc>
          <w:tcPr>
            <w:tcW w:w="988" w:type="dxa"/>
            <w:tcBorders>
              <w:top w:val="single" w:sz="4" w:space="0" w:color="auto"/>
              <w:left w:val="single" w:sz="4" w:space="0" w:color="auto"/>
              <w:bottom w:val="single" w:sz="4" w:space="0" w:color="auto"/>
              <w:right w:val="single" w:sz="4" w:space="0" w:color="auto"/>
            </w:tcBorders>
            <w:vAlign w:val="center"/>
            <w:hideMark/>
          </w:tcPr>
          <w:p w14:paraId="545B4E14" w14:textId="77777777" w:rsidR="00D902D7" w:rsidRDefault="00D902D7">
            <w:pPr>
              <w:rPr>
                <w:sz w:val="16"/>
                <w:szCs w:val="16"/>
                <w:lang w:val="en-IN"/>
              </w:rPr>
            </w:pPr>
            <w:r>
              <w:rPr>
                <w:rFonts w:eastAsia="Times New Roman"/>
                <w:color w:val="000000"/>
                <w:sz w:val="16"/>
                <w:szCs w:val="16"/>
              </w:rPr>
              <w:t>Arthritis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CF3553" w14:textId="77777777" w:rsidR="00D902D7" w:rsidRDefault="00D902D7">
            <w:pPr>
              <w:rPr>
                <w:sz w:val="16"/>
                <w:szCs w:val="16"/>
                <w:lang w:val="en-IN"/>
              </w:rPr>
            </w:pPr>
            <w:r>
              <w:rPr>
                <w:rFonts w:eastAsia="Times New Roman"/>
                <w:color w:val="000000"/>
                <w:sz w:val="16"/>
                <w:szCs w:val="16"/>
              </w:rPr>
              <w:t>Autism Spectrum Disorders</w:t>
            </w:r>
          </w:p>
        </w:tc>
        <w:tc>
          <w:tcPr>
            <w:tcW w:w="992" w:type="dxa"/>
            <w:tcBorders>
              <w:top w:val="single" w:sz="4" w:space="0" w:color="auto"/>
              <w:left w:val="single" w:sz="4" w:space="0" w:color="auto"/>
              <w:bottom w:val="single" w:sz="4" w:space="0" w:color="auto"/>
              <w:right w:val="single" w:sz="4" w:space="0" w:color="auto"/>
            </w:tcBorders>
            <w:vAlign w:val="center"/>
            <w:hideMark/>
          </w:tcPr>
          <w:p w14:paraId="213D85C0" w14:textId="77777777" w:rsidR="00D902D7" w:rsidRDefault="00D902D7">
            <w:pPr>
              <w:rPr>
                <w:sz w:val="16"/>
                <w:szCs w:val="16"/>
                <w:lang w:val="en-IN"/>
              </w:rPr>
            </w:pPr>
            <w:r>
              <w:rPr>
                <w:rFonts w:eastAsia="Times New Roman"/>
                <w:color w:val="000000"/>
                <w:sz w:val="16"/>
                <w:szCs w:val="16"/>
              </w:rPr>
              <w:t>Heart Failure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040CCFF" w14:textId="77777777" w:rsidR="00D902D7" w:rsidRDefault="00D902D7">
            <w:pPr>
              <w:rPr>
                <w:sz w:val="16"/>
                <w:szCs w:val="16"/>
                <w:lang w:val="en-IN"/>
              </w:rPr>
            </w:pPr>
            <w:r>
              <w:rPr>
                <w:rFonts w:eastAsia="Times New Roman"/>
                <w:color w:val="000000"/>
                <w:sz w:val="16"/>
                <w:szCs w:val="16"/>
              </w:rPr>
              <w:t>Hypertension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1053FF5" w14:textId="77777777" w:rsidR="00D902D7" w:rsidRDefault="00D902D7">
            <w:pPr>
              <w:rPr>
                <w:sz w:val="16"/>
                <w:szCs w:val="16"/>
                <w:lang w:val="en-IN"/>
              </w:rPr>
            </w:pPr>
            <w:r>
              <w:rPr>
                <w:rFonts w:eastAsia="Times New Roman"/>
                <w:color w:val="000000"/>
                <w:sz w:val="16"/>
                <w:szCs w:val="16"/>
              </w:rPr>
              <w:t>Diabetes</w:t>
            </w:r>
          </w:p>
        </w:tc>
      </w:tr>
      <w:tr w:rsidR="00D902D7" w14:paraId="6D0D41E1" w14:textId="77777777" w:rsidTr="00D902D7">
        <w:trPr>
          <w:trHeight w:val="497"/>
        </w:trPr>
        <w:tc>
          <w:tcPr>
            <w:tcW w:w="988" w:type="dxa"/>
            <w:tcBorders>
              <w:top w:val="single" w:sz="4" w:space="0" w:color="auto"/>
              <w:left w:val="single" w:sz="4" w:space="0" w:color="auto"/>
              <w:bottom w:val="single" w:sz="4" w:space="0" w:color="auto"/>
              <w:right w:val="single" w:sz="4" w:space="0" w:color="auto"/>
            </w:tcBorders>
            <w:vAlign w:val="center"/>
            <w:hideMark/>
          </w:tcPr>
          <w:p w14:paraId="6544163C" w14:textId="77777777" w:rsidR="00D902D7" w:rsidRDefault="00D902D7">
            <w:pPr>
              <w:rPr>
                <w:sz w:val="16"/>
                <w:szCs w:val="16"/>
                <w:lang w:val="en-IN"/>
              </w:rPr>
            </w:pPr>
            <w:r>
              <w:rPr>
                <w:rFonts w:eastAsia="Times New Roman"/>
                <w:color w:val="000000"/>
                <w:sz w:val="16"/>
                <w:szCs w:val="16"/>
              </w:rPr>
              <w:t>Depression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15DEB5" w14:textId="77777777" w:rsidR="00D902D7" w:rsidRDefault="00D902D7">
            <w:pPr>
              <w:rPr>
                <w:sz w:val="16"/>
                <w:szCs w:val="16"/>
                <w:lang w:val="en-IN"/>
              </w:rPr>
            </w:pPr>
            <w:r>
              <w:rPr>
                <w:sz w:val="16"/>
                <w:szCs w:val="16"/>
                <w:lang w:val="en-IN"/>
              </w:rPr>
              <w:t>HIV</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0D703D" w14:textId="77777777" w:rsidR="00D902D7" w:rsidRDefault="00D902D7">
            <w:pPr>
              <w:rPr>
                <w:sz w:val="16"/>
                <w:szCs w:val="16"/>
                <w:lang w:val="en-IN"/>
              </w:rPr>
            </w:pPr>
            <w:r>
              <w:rPr>
                <w:rFonts w:eastAsia="Times New Roman"/>
                <w:color w:val="000000"/>
                <w:sz w:val="16"/>
                <w:szCs w:val="16"/>
              </w:rPr>
              <w:t>Hepatitis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897ADA0" w14:textId="77777777" w:rsidR="00D902D7" w:rsidRDefault="00D902D7">
            <w:pPr>
              <w:rPr>
                <w:sz w:val="16"/>
                <w:szCs w:val="16"/>
                <w:lang w:val="en-IN"/>
              </w:rPr>
            </w:pPr>
            <w:r>
              <w:rPr>
                <w:rFonts w:eastAsia="Times New Roman"/>
                <w:color w:val="000000"/>
                <w:sz w:val="16"/>
                <w:szCs w:val="16"/>
              </w:rPr>
              <w:t>Alzheimer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DECB5F5" w14:textId="77777777" w:rsidR="00D902D7" w:rsidRDefault="00D902D7">
            <w:pPr>
              <w:rPr>
                <w:sz w:val="16"/>
                <w:szCs w:val="16"/>
                <w:lang w:val="en-IN"/>
              </w:rPr>
            </w:pPr>
            <w:r>
              <w:rPr>
                <w:rFonts w:eastAsia="Times New Roman"/>
                <w:color w:val="000000"/>
                <w:sz w:val="16"/>
                <w:szCs w:val="16"/>
              </w:rPr>
              <w:t>Cancer</w:t>
            </w:r>
          </w:p>
        </w:tc>
      </w:tr>
      <w:tr w:rsidR="00D902D7" w14:paraId="68347CCF" w14:textId="77777777" w:rsidTr="00D902D7">
        <w:trPr>
          <w:trHeight w:val="561"/>
        </w:trPr>
        <w:tc>
          <w:tcPr>
            <w:tcW w:w="988" w:type="dxa"/>
            <w:tcBorders>
              <w:top w:val="single" w:sz="4" w:space="0" w:color="auto"/>
              <w:left w:val="single" w:sz="4" w:space="0" w:color="auto"/>
              <w:bottom w:val="single" w:sz="4" w:space="0" w:color="auto"/>
              <w:right w:val="single" w:sz="4" w:space="0" w:color="auto"/>
            </w:tcBorders>
            <w:vAlign w:val="center"/>
            <w:hideMark/>
          </w:tcPr>
          <w:p w14:paraId="30A558B0" w14:textId="77777777" w:rsidR="00D902D7" w:rsidRDefault="00D902D7">
            <w:pPr>
              <w:rPr>
                <w:sz w:val="16"/>
                <w:szCs w:val="16"/>
                <w:lang w:val="en-IN"/>
              </w:rPr>
            </w:pPr>
            <w:r>
              <w:rPr>
                <w:rFonts w:eastAsia="Times New Roman"/>
                <w:color w:val="000000"/>
                <w:sz w:val="16"/>
                <w:szCs w:val="16"/>
              </w:rPr>
              <w:t>Drug Abuse</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482CD5" w14:textId="77777777" w:rsidR="00D902D7" w:rsidRDefault="00D902D7">
            <w:pPr>
              <w:rPr>
                <w:sz w:val="16"/>
                <w:szCs w:val="16"/>
                <w:lang w:val="en-IN"/>
              </w:rPr>
            </w:pPr>
            <w:r>
              <w:rPr>
                <w:rFonts w:eastAsia="Times New Roman"/>
                <w:color w:val="000000"/>
                <w:sz w:val="16"/>
                <w:szCs w:val="16"/>
              </w:rPr>
              <w:t>Chronic Kidney Disease</w:t>
            </w:r>
          </w:p>
        </w:tc>
        <w:tc>
          <w:tcPr>
            <w:tcW w:w="992" w:type="dxa"/>
            <w:tcBorders>
              <w:top w:val="single" w:sz="4" w:space="0" w:color="auto"/>
              <w:left w:val="single" w:sz="4" w:space="0" w:color="auto"/>
              <w:bottom w:val="single" w:sz="4" w:space="0" w:color="auto"/>
              <w:right w:val="single" w:sz="4" w:space="0" w:color="auto"/>
            </w:tcBorders>
            <w:vAlign w:val="center"/>
            <w:hideMark/>
          </w:tcPr>
          <w:p w14:paraId="35ECB980" w14:textId="77777777" w:rsidR="00D902D7" w:rsidRDefault="00D902D7">
            <w:pPr>
              <w:rPr>
                <w:sz w:val="16"/>
                <w:szCs w:val="16"/>
                <w:lang w:val="en-IN"/>
              </w:rPr>
            </w:pPr>
            <w:r>
              <w:rPr>
                <w:rFonts w:eastAsia="Times New Roman"/>
                <w:color w:val="000000"/>
                <w:sz w:val="16"/>
                <w:szCs w:val="16"/>
              </w:rPr>
              <w:t>Atrial Fibrillation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5954056" w14:textId="77777777" w:rsidR="00D902D7" w:rsidRDefault="00D902D7">
            <w:pPr>
              <w:rPr>
                <w:sz w:val="16"/>
                <w:szCs w:val="16"/>
                <w:lang w:val="en-IN"/>
              </w:rPr>
            </w:pPr>
            <w:r>
              <w:rPr>
                <w:rFonts w:eastAsia="Times New Roman"/>
                <w:color w:val="000000"/>
                <w:sz w:val="16"/>
                <w:szCs w:val="16"/>
              </w:rPr>
              <w:t>Osteoporosis</w:t>
            </w:r>
          </w:p>
        </w:tc>
        <w:tc>
          <w:tcPr>
            <w:tcW w:w="851" w:type="dxa"/>
            <w:tcBorders>
              <w:top w:val="single" w:sz="4" w:space="0" w:color="auto"/>
              <w:left w:val="single" w:sz="4" w:space="0" w:color="auto"/>
              <w:bottom w:val="single" w:sz="4" w:space="0" w:color="auto"/>
              <w:right w:val="single" w:sz="4" w:space="0" w:color="auto"/>
            </w:tcBorders>
            <w:vAlign w:val="center"/>
            <w:hideMark/>
          </w:tcPr>
          <w:p w14:paraId="59D1FF1A" w14:textId="77777777" w:rsidR="00D902D7" w:rsidRDefault="00D902D7">
            <w:pPr>
              <w:rPr>
                <w:sz w:val="16"/>
                <w:szCs w:val="16"/>
                <w:lang w:val="en-IN"/>
              </w:rPr>
            </w:pPr>
            <w:r>
              <w:rPr>
                <w:rFonts w:eastAsia="Times New Roman"/>
                <w:color w:val="000000"/>
                <w:sz w:val="16"/>
                <w:szCs w:val="16"/>
              </w:rPr>
              <w:t>Stroke</w:t>
            </w:r>
          </w:p>
        </w:tc>
      </w:tr>
    </w:tbl>
    <w:p w14:paraId="141935B1" w14:textId="2B3DEFBE" w:rsidR="001B4569" w:rsidRDefault="001B4569" w:rsidP="006D156D">
      <w:pPr>
        <w:pStyle w:val="NormalWeb"/>
        <w:ind w:firstLine="288"/>
        <w:jc w:val="both"/>
      </w:pPr>
      <w:r>
        <w:rPr>
          <w:rFonts w:ascii="TimesNewRomanPSMT" w:hAnsi="TimesNewRomanPSMT"/>
          <w:sz w:val="20"/>
          <w:szCs w:val="20"/>
        </w:rPr>
        <w:t>The children’s data used for this analysis was obtained from the National Survey of Children’s Health (NSHC), years 2016 to 2020 [27]</w:t>
      </w:r>
      <w:r w:rsidR="00F725B0">
        <w:rPr>
          <w:rFonts w:ascii="TimesNewRomanPSMT" w:hAnsi="TimesNewRomanPSMT"/>
          <w:sz w:val="20"/>
          <w:szCs w:val="20"/>
        </w:rPr>
        <w:t xml:space="preserve"> named as DATA 2</w:t>
      </w:r>
      <w:r>
        <w:rPr>
          <w:rFonts w:ascii="TimesNewRomanPSMT" w:hAnsi="TimesNewRomanPSMT"/>
          <w:sz w:val="20"/>
          <w:szCs w:val="20"/>
        </w:rPr>
        <w:t xml:space="preserve">. The NSHC has been conducted nationwide by the US Census Bureau yearly since 2016. This survey collects data </w:t>
      </w:r>
      <w:r w:rsidR="35EB2043" w:rsidRPr="4E07C312">
        <w:rPr>
          <w:rFonts w:ascii="TimesNewRomanPSMT" w:hAnsi="TimesNewRomanPSMT"/>
          <w:sz w:val="20"/>
          <w:szCs w:val="20"/>
        </w:rPr>
        <w:t xml:space="preserve">from </w:t>
      </w:r>
      <w:r>
        <w:rPr>
          <w:rFonts w:ascii="TimesNewRomanPSMT" w:hAnsi="TimesNewRomanPSMT"/>
          <w:sz w:val="20"/>
          <w:szCs w:val="20"/>
        </w:rPr>
        <w:t>children aged 0 to 17 years old, but also about their parents/caregivers and household</w:t>
      </w:r>
      <w:r w:rsidR="35EB2043" w:rsidRPr="4E07C312">
        <w:rPr>
          <w:rFonts w:ascii="TimesNewRomanPSMT" w:hAnsi="TimesNewRomanPSMT"/>
          <w:sz w:val="20"/>
          <w:szCs w:val="20"/>
        </w:rPr>
        <w:t>.</w:t>
      </w:r>
      <w:r>
        <w:rPr>
          <w:rFonts w:ascii="TimesNewRomanPSMT" w:hAnsi="TimesNewRomanPSMT"/>
          <w:sz w:val="20"/>
          <w:szCs w:val="20"/>
        </w:rPr>
        <w:t xml:space="preserve"> For more </w:t>
      </w:r>
      <w:r>
        <w:rPr>
          <w:rFonts w:ascii="TimesNewRomanPSMT" w:hAnsi="TimesNewRomanPSMT"/>
          <w:sz w:val="20"/>
          <w:szCs w:val="20"/>
        </w:rPr>
        <w:t>information about guides, survey instruments, methodology</w:t>
      </w:r>
      <w:r w:rsidR="35EB2043" w:rsidRPr="4E07C312">
        <w:rPr>
          <w:rFonts w:ascii="TimesNewRomanPSMT" w:hAnsi="TimesNewRomanPSMT"/>
          <w:sz w:val="20"/>
          <w:szCs w:val="20"/>
        </w:rPr>
        <w:t>,</w:t>
      </w:r>
      <w:r>
        <w:rPr>
          <w:rFonts w:ascii="TimesNewRomanPSMT" w:hAnsi="TimesNewRomanPSMT"/>
          <w:sz w:val="20"/>
          <w:szCs w:val="20"/>
        </w:rPr>
        <w:t xml:space="preserve"> and others, refer to [28]. </w:t>
      </w:r>
      <w:r w:rsidR="35EB2043" w:rsidRPr="4E07C312">
        <w:rPr>
          <w:rFonts w:ascii="TimesNewRomanPSMT" w:hAnsi="TimesNewRomanPSMT"/>
          <w:sz w:val="20"/>
          <w:szCs w:val="20"/>
        </w:rPr>
        <w:t xml:space="preserve"> </w:t>
      </w:r>
    </w:p>
    <w:p w14:paraId="59FEA10A" w14:textId="148655A2" w:rsidR="00E32C7C" w:rsidRDefault="00FA5035" w:rsidP="00E7596C">
      <w:pPr>
        <w:pStyle w:val="BodyText"/>
        <w:rPr>
          <w:lang w:val="en-US"/>
        </w:rPr>
      </w:pPr>
      <w:r>
        <w:rPr>
          <w:lang w:val="en-US"/>
        </w:rPr>
        <w:t>F</w:t>
      </w:r>
      <w:r w:rsidR="00CB31F4">
        <w:rPr>
          <w:lang w:val="en-US"/>
        </w:rPr>
        <w:t>or the explanatory variables</w:t>
      </w:r>
      <w:r w:rsidR="005D3FB2">
        <w:rPr>
          <w:lang w:val="en-US"/>
        </w:rPr>
        <w:t xml:space="preserve"> (identified </w:t>
      </w:r>
      <w:r w:rsidR="00917B86">
        <w:rPr>
          <w:lang w:val="en-US"/>
        </w:rPr>
        <w:t xml:space="preserve">from the literature review), </w:t>
      </w:r>
      <w:r w:rsidR="489AB14D" w:rsidRPr="4E07C312">
        <w:rPr>
          <w:lang w:val="en-US"/>
        </w:rPr>
        <w:t xml:space="preserve">the selection was made based on their objectiveness due to the subjective nature of some of the responses. For instance, being asked about age or income level is more objective than being asked about self-perception. Therefore, selected factors were the age of the parent/caregiver, adverse childhood experiences (ACE), household poverty level, and receiving cash/food assistance. The age variable is the only one being used as an average, whereas all the others correspond to a proportion from the sample at the state level. ACE was used as the % having at least one ACE. The poverty level shows a % that is below 100% FPL [29]. Receive cash/food assistance refers to the % that does receive it. For the health metrics, it was used a similar approach as for the explanatory variables. From the survey, we selected these variables: allergies, arthritis, heart condition, frequent/severe headaches, asthma, diabetes, anxiety, and depression. The data was used at the state level as the proportion of the sample which suffers from these health conditions. </w:t>
      </w:r>
      <w:r w:rsidR="00940727" w:rsidRPr="00940727">
        <w:rPr>
          <w:lang w:val="en-US"/>
        </w:rPr>
        <w:t xml:space="preserve"> </w:t>
      </w:r>
    </w:p>
    <w:p w14:paraId="72110FEB" w14:textId="33B2133E" w:rsidR="00D40133" w:rsidRPr="008C5FBE" w:rsidRDefault="00940727" w:rsidP="00D40133">
      <w:pPr>
        <w:pStyle w:val="BodyText"/>
        <w:rPr>
          <w:lang w:val="en-US"/>
        </w:rPr>
      </w:pPr>
      <w:r w:rsidRPr="00940727">
        <w:rPr>
          <w:lang w:val="en-US"/>
        </w:rPr>
        <w:t>Hence</w:t>
      </w:r>
      <w:r>
        <w:rPr>
          <w:lang w:val="en-US"/>
        </w:rPr>
        <w:t>,</w:t>
      </w:r>
      <w:r w:rsidRPr="00940727">
        <w:rPr>
          <w:lang w:val="en-US"/>
        </w:rPr>
        <w:t xml:space="preserve"> we have two datasets</w:t>
      </w:r>
      <w:r>
        <w:rPr>
          <w:lang w:val="en-US"/>
        </w:rPr>
        <w:t>:</w:t>
      </w:r>
      <w:r w:rsidRPr="00940727">
        <w:rPr>
          <w:lang w:val="en-US"/>
        </w:rPr>
        <w:t xml:space="preserve"> DATA 1 belonging to adults and DATA 2 for food insecurity in children. Both datasets </w:t>
      </w:r>
      <w:r w:rsidR="001D54B5">
        <w:rPr>
          <w:lang w:val="en-US"/>
        </w:rPr>
        <w:t xml:space="preserve">contain </w:t>
      </w:r>
      <w:r w:rsidRPr="00940727">
        <w:rPr>
          <w:lang w:val="en-US"/>
        </w:rPr>
        <w:t>data from 2016 to 2020</w:t>
      </w:r>
      <w:r w:rsidR="001D54B5">
        <w:rPr>
          <w:lang w:val="en-US"/>
        </w:rPr>
        <w:t xml:space="preserve">, DATA 1 at </w:t>
      </w:r>
      <w:r w:rsidR="00B1483F">
        <w:rPr>
          <w:lang w:val="en-US"/>
        </w:rPr>
        <w:t xml:space="preserve">the </w:t>
      </w:r>
      <w:r w:rsidR="001D54B5">
        <w:rPr>
          <w:lang w:val="en-US"/>
        </w:rPr>
        <w:t xml:space="preserve">county level and DATA 2 at </w:t>
      </w:r>
      <w:r w:rsidR="00B1483F">
        <w:rPr>
          <w:lang w:val="en-US"/>
        </w:rPr>
        <w:t xml:space="preserve">the </w:t>
      </w:r>
      <w:r w:rsidR="001D54B5">
        <w:rPr>
          <w:lang w:val="en-US"/>
        </w:rPr>
        <w:t>state level (county</w:t>
      </w:r>
      <w:r w:rsidR="00B1483F">
        <w:rPr>
          <w:lang w:val="en-US"/>
        </w:rPr>
        <w:t>-</w:t>
      </w:r>
      <w:r w:rsidR="001D54B5">
        <w:rPr>
          <w:lang w:val="en-US"/>
        </w:rPr>
        <w:t>level data is not available, a difficulty for our analysis</w:t>
      </w:r>
      <w:r w:rsidR="00E32C7C">
        <w:rPr>
          <w:lang w:val="en-US"/>
        </w:rPr>
        <w:t xml:space="preserve"> o</w:t>
      </w:r>
      <w:r w:rsidR="00B1483F">
        <w:rPr>
          <w:lang w:val="en-US"/>
        </w:rPr>
        <w:t>f</w:t>
      </w:r>
      <w:r w:rsidR="00E32C7C">
        <w:rPr>
          <w:lang w:val="en-US"/>
        </w:rPr>
        <w:t xml:space="preserve"> </w:t>
      </w:r>
      <w:r w:rsidR="00B1483F">
        <w:rPr>
          <w:lang w:val="en-US"/>
        </w:rPr>
        <w:t xml:space="preserve">the </w:t>
      </w:r>
      <w:r w:rsidR="00E32C7C">
        <w:rPr>
          <w:lang w:val="en-US"/>
        </w:rPr>
        <w:t>children population</w:t>
      </w:r>
      <w:r w:rsidR="00E24F53">
        <w:rPr>
          <w:lang w:val="en-US"/>
        </w:rPr>
        <w:t xml:space="preserve">. Only available food insecurity at </w:t>
      </w:r>
      <w:r w:rsidR="00B1483F">
        <w:rPr>
          <w:lang w:val="en-US"/>
        </w:rPr>
        <w:t xml:space="preserve">the </w:t>
      </w:r>
      <w:r w:rsidR="00E24F53">
        <w:rPr>
          <w:lang w:val="en-US"/>
        </w:rPr>
        <w:t>county level</w:t>
      </w:r>
      <w:r w:rsidR="001D54B5">
        <w:rPr>
          <w:lang w:val="en-US"/>
        </w:rPr>
        <w:t>).</w:t>
      </w:r>
      <w:r w:rsidR="00D40133">
        <w:rPr>
          <w:lang w:val="en-US"/>
        </w:rPr>
        <w:t xml:space="preserve"> </w:t>
      </w:r>
      <w:r w:rsidR="00B1483F">
        <w:rPr>
          <w:lang w:val="en-US"/>
        </w:rPr>
        <w:t>T</w:t>
      </w:r>
      <w:r w:rsidR="00D40133">
        <w:rPr>
          <w:lang w:val="en-US"/>
        </w:rPr>
        <w:t xml:space="preserve">he final analysis is done on the extension of Data 1 spanning all the counties from 2014 and 2018. </w:t>
      </w:r>
    </w:p>
    <w:p w14:paraId="45D18360" w14:textId="601ACF85" w:rsidR="00691834" w:rsidRDefault="56463BFA" w:rsidP="00DB4FD3">
      <w:pPr>
        <w:pStyle w:val="Heading1"/>
        <w:jc w:val="center"/>
      </w:pPr>
      <w:r>
        <w:t>methods</w:t>
      </w:r>
    </w:p>
    <w:p w14:paraId="7DADEAF2" w14:textId="2528D578" w:rsidR="2CFD3A1D" w:rsidRDefault="005702A9" w:rsidP="56463BFA">
      <w:pPr>
        <w:pStyle w:val="BodyText"/>
        <w:rPr>
          <w:lang w:val="en-IN"/>
        </w:rPr>
      </w:pPr>
      <w:r>
        <w:rPr>
          <w:lang w:val="en-IN"/>
        </w:rPr>
        <w:t>In</w:t>
      </w:r>
      <w:r w:rsidR="00B1483F">
        <w:rPr>
          <w:lang w:val="en-IN"/>
        </w:rPr>
        <w:t>i</w:t>
      </w:r>
      <w:r>
        <w:rPr>
          <w:lang w:val="en-IN"/>
        </w:rPr>
        <w:t>tially</w:t>
      </w:r>
      <w:r w:rsidR="00B1483F">
        <w:rPr>
          <w:lang w:val="en-IN"/>
        </w:rPr>
        <w:t>,</w:t>
      </w:r>
      <w:r>
        <w:rPr>
          <w:lang w:val="en-IN"/>
        </w:rPr>
        <w:t xml:space="preserve"> </w:t>
      </w:r>
      <w:r w:rsidR="000E3BFE">
        <w:rPr>
          <w:lang w:val="en-IN"/>
        </w:rPr>
        <w:t>we analy</w:t>
      </w:r>
      <w:r w:rsidR="00B1483F">
        <w:rPr>
          <w:lang w:val="en-IN"/>
        </w:rPr>
        <w:t>z</w:t>
      </w:r>
      <w:r w:rsidR="000E3BFE">
        <w:rPr>
          <w:lang w:val="en-IN"/>
        </w:rPr>
        <w:t>ed the data with respect to its correlation with food insecurity.</w:t>
      </w:r>
      <w:r w:rsidR="00F725B0">
        <w:rPr>
          <w:lang w:val="en-IN"/>
        </w:rPr>
        <w:t xml:space="preserve"> In the data processing part</w:t>
      </w:r>
      <w:r w:rsidR="000E3BFE">
        <w:rPr>
          <w:lang w:val="en-IN"/>
        </w:rPr>
        <w:t xml:space="preserve"> </w:t>
      </w:r>
      <w:r w:rsidR="00B1483F">
        <w:rPr>
          <w:lang w:val="en-IN"/>
        </w:rPr>
        <w:t>a</w:t>
      </w:r>
      <w:r w:rsidR="000E3BFE">
        <w:rPr>
          <w:lang w:val="en-IN"/>
        </w:rPr>
        <w:t xml:space="preserve">ny variable that has </w:t>
      </w:r>
      <w:r w:rsidR="00B1483F">
        <w:rPr>
          <w:lang w:val="en-IN"/>
        </w:rPr>
        <w:t xml:space="preserve">a </w:t>
      </w:r>
      <w:r w:rsidR="000E3BFE">
        <w:rPr>
          <w:lang w:val="en-IN"/>
        </w:rPr>
        <w:t>negative correlation</w:t>
      </w:r>
      <w:r w:rsidR="00F725B0">
        <w:rPr>
          <w:lang w:val="en-IN"/>
        </w:rPr>
        <w:t xml:space="preserve"> with food insecurity has been </w:t>
      </w:r>
      <w:r w:rsidR="000E3BFE">
        <w:rPr>
          <w:lang w:val="en-IN"/>
        </w:rPr>
        <w:t>removed</w:t>
      </w:r>
      <w:r w:rsidR="00F725B0">
        <w:rPr>
          <w:lang w:val="en-IN"/>
        </w:rPr>
        <w:t xml:space="preserve">. </w:t>
      </w:r>
      <w:r w:rsidR="000E3BFE">
        <w:rPr>
          <w:lang w:val="en-IN"/>
        </w:rPr>
        <w:t>Machine learning algorithms are then used to analy</w:t>
      </w:r>
      <w:r w:rsidR="00B1483F">
        <w:rPr>
          <w:lang w:val="en-IN"/>
        </w:rPr>
        <w:t>z</w:t>
      </w:r>
      <w:r w:rsidR="000E3BFE">
        <w:rPr>
          <w:lang w:val="en-IN"/>
        </w:rPr>
        <w:t>e the data a</w:t>
      </w:r>
      <w:r>
        <w:rPr>
          <w:lang w:val="en-IN"/>
        </w:rPr>
        <w:t>t</w:t>
      </w:r>
      <w:r w:rsidR="000E3BFE">
        <w:rPr>
          <w:lang w:val="en-IN"/>
        </w:rPr>
        <w:t xml:space="preserve"> two levels one being state and another being county. For any missing values</w:t>
      </w:r>
      <w:r w:rsidR="00B1483F">
        <w:rPr>
          <w:lang w:val="en-IN"/>
        </w:rPr>
        <w:t>,</w:t>
      </w:r>
      <w:r w:rsidR="000E3BFE">
        <w:rPr>
          <w:lang w:val="en-IN"/>
        </w:rPr>
        <w:t xml:space="preserve"> a mean imputer algorithm has been used. </w:t>
      </w:r>
      <w:r>
        <w:rPr>
          <w:lang w:val="en-IN"/>
        </w:rPr>
        <w:t xml:space="preserve">To create </w:t>
      </w:r>
      <w:r w:rsidR="00B1483F">
        <w:rPr>
          <w:lang w:val="en-IN"/>
        </w:rPr>
        <w:t xml:space="preserve">a prediction model </w:t>
      </w:r>
      <w:r>
        <w:rPr>
          <w:lang w:val="en-IN"/>
        </w:rPr>
        <w:t>two approaches have been explored. One is calculating a contin</w:t>
      </w:r>
      <w:r w:rsidR="00B1483F">
        <w:rPr>
          <w:lang w:val="en-IN"/>
        </w:rPr>
        <w:t>u</w:t>
      </w:r>
      <w:r>
        <w:rPr>
          <w:lang w:val="en-IN"/>
        </w:rPr>
        <w:t xml:space="preserve">ous dependent variable given as </w:t>
      </w:r>
      <w:r w:rsidR="00B1483F">
        <w:rPr>
          <w:lang w:val="en-IN"/>
        </w:rPr>
        <w:t xml:space="preserve">the </w:t>
      </w:r>
      <w:r>
        <w:rPr>
          <w:lang w:val="en-IN"/>
        </w:rPr>
        <w:t>food insecurity rate. Being a contin</w:t>
      </w:r>
      <w:r w:rsidR="00B1483F">
        <w:rPr>
          <w:lang w:val="en-IN"/>
        </w:rPr>
        <w:t>u</w:t>
      </w:r>
      <w:r>
        <w:rPr>
          <w:lang w:val="en-IN"/>
        </w:rPr>
        <w:t xml:space="preserve">ous variable it might be difficult to make policies on such </w:t>
      </w:r>
      <w:r w:rsidR="00B1483F">
        <w:rPr>
          <w:lang w:val="en-IN"/>
        </w:rPr>
        <w:t xml:space="preserve">a variable </w:t>
      </w:r>
      <w:r>
        <w:rPr>
          <w:lang w:val="en-IN"/>
        </w:rPr>
        <w:t>type. Hence, the next thin</w:t>
      </w:r>
      <w:r w:rsidR="00B1483F">
        <w:rPr>
          <w:lang w:val="en-IN"/>
        </w:rPr>
        <w:t>g</w:t>
      </w:r>
      <w:r>
        <w:rPr>
          <w:lang w:val="en-IN"/>
        </w:rPr>
        <w:t xml:space="preserve"> we tried is clustering the food insecurity rates at different levels. Since normal clustering algorit</w:t>
      </w:r>
      <w:r w:rsidR="00B1483F">
        <w:rPr>
          <w:lang w:val="en-IN"/>
        </w:rPr>
        <w:t>hms</w:t>
      </w:r>
      <w:r>
        <w:rPr>
          <w:lang w:val="en-IN"/>
        </w:rPr>
        <w:t xml:space="preserve"> would fail due to the time series nature of the </w:t>
      </w:r>
      <w:r w:rsidRPr="008F41F6">
        <w:rPr>
          <w:lang w:val="en-IN"/>
        </w:rPr>
        <w:t xml:space="preserve">data. We created artificial clusters by dividing the food insecurity rate by 7 </w:t>
      </w:r>
      <w:r w:rsidR="00BA63AD" w:rsidRPr="008F41F6">
        <w:rPr>
          <w:lang w:val="en-IN"/>
        </w:rPr>
        <w:t xml:space="preserve">and </w:t>
      </w:r>
      <w:r w:rsidRPr="008F41F6">
        <w:rPr>
          <w:lang w:val="en-IN"/>
        </w:rPr>
        <w:t xml:space="preserve">creating 7 clusters. </w:t>
      </w:r>
      <w:r w:rsidR="008F41F6">
        <w:rPr>
          <w:lang w:val="en-IN"/>
        </w:rPr>
        <w:t xml:space="preserve">7 levles were chosen since this gave the most balanced dataset. </w:t>
      </w:r>
      <w:r>
        <w:rPr>
          <w:lang w:val="en-IN"/>
        </w:rPr>
        <w:t>For the first approach s</w:t>
      </w:r>
      <w:r w:rsidR="2CFD3A1D">
        <w:t xml:space="preserve">ince </w:t>
      </w:r>
      <w:r>
        <w:rPr>
          <w:lang w:val="en-IN"/>
        </w:rPr>
        <w:t xml:space="preserve">most </w:t>
      </w:r>
      <w:r w:rsidR="2CFD3A1D">
        <w:t>of our data is continuous, the method of analysis used comprised implementing multiple linear regression and random forest models to our data. Since we seek to understand the relationships between the parameters, interpretability is essential in understanding the contribution of individual predictors. This would further elicit importance when helping to shape policy for policymakers. Hence, multiple linear regression helped fit this aspect of the project. Furthermore, since the number of predictors used to build the model is large, a random forest approach was also chosen to help because of its high versatility. Furthermore, some of the data w</w:t>
      </w:r>
      <w:r w:rsidR="00B1483F">
        <w:t>ere</w:t>
      </w:r>
      <w:r w:rsidR="2CFD3A1D">
        <w:t xml:space="preserve"> broken for certain counties and contained missing values. A random forest approach’s </w:t>
      </w:r>
      <w:r w:rsidR="2CFD3A1D">
        <w:lastRenderedPageBreak/>
        <w:t xml:space="preserve">robustness greatly helps in handling such unbalanced data.  </w:t>
      </w:r>
      <w:r>
        <w:rPr>
          <w:lang w:val="en-IN"/>
        </w:rPr>
        <w:t>For the clustering approach as earlier stated we created a</w:t>
      </w:r>
      <w:r w:rsidR="00B1483F">
        <w:rPr>
          <w:lang w:val="en-IN"/>
        </w:rPr>
        <w:t>n</w:t>
      </w:r>
      <w:r>
        <w:rPr>
          <w:lang w:val="en-IN"/>
        </w:rPr>
        <w:t xml:space="preserve"> ordinal scale of food insecurity levels artificially. To map the metrics we then</w:t>
      </w:r>
      <w:r w:rsidR="00B1483F">
        <w:rPr>
          <w:lang w:val="en-IN"/>
        </w:rPr>
        <w:t xml:space="preserve"> used</w:t>
      </w:r>
      <w:r>
        <w:rPr>
          <w:lang w:val="en-IN"/>
        </w:rPr>
        <w:t xml:space="preserve"> </w:t>
      </w:r>
      <w:r w:rsidR="00B1483F">
        <w:rPr>
          <w:lang w:val="en-IN"/>
        </w:rPr>
        <w:t>L</w:t>
      </w:r>
      <w:r>
        <w:rPr>
          <w:lang w:val="en-IN"/>
        </w:rPr>
        <w:t xml:space="preserve">ogistic </w:t>
      </w:r>
      <w:r w:rsidR="00B1483F">
        <w:rPr>
          <w:lang w:val="en-IN"/>
        </w:rPr>
        <w:t>R</w:t>
      </w:r>
      <w:r>
        <w:rPr>
          <w:lang w:val="en-IN"/>
        </w:rPr>
        <w:t xml:space="preserve">egression and </w:t>
      </w:r>
      <w:r w:rsidR="00B1483F">
        <w:rPr>
          <w:lang w:val="en-IN"/>
        </w:rPr>
        <w:t>a R</w:t>
      </w:r>
      <w:r>
        <w:rPr>
          <w:lang w:val="en-IN"/>
        </w:rPr>
        <w:t xml:space="preserve">andom </w:t>
      </w:r>
      <w:r w:rsidR="00B1483F">
        <w:rPr>
          <w:lang w:val="en-IN"/>
        </w:rPr>
        <w:t>F</w:t>
      </w:r>
      <w:r>
        <w:rPr>
          <w:lang w:val="en-IN"/>
        </w:rPr>
        <w:t xml:space="preserve">orest </w:t>
      </w:r>
      <w:r w:rsidR="00B1483F">
        <w:rPr>
          <w:lang w:val="en-IN"/>
        </w:rPr>
        <w:t>C</w:t>
      </w:r>
      <w:r>
        <w:rPr>
          <w:lang w:val="en-IN"/>
        </w:rPr>
        <w:t>lassifier to get the relationship between different levels and the health metrics.</w:t>
      </w:r>
      <w:r w:rsidR="00B116BB">
        <w:rPr>
          <w:lang w:val="en-IN"/>
        </w:rPr>
        <w:t xml:space="preserve"> To sum up</w:t>
      </w:r>
      <w:r w:rsidR="00B1483F">
        <w:rPr>
          <w:lang w:val="en-IN"/>
        </w:rPr>
        <w:t>,</w:t>
      </w:r>
      <w:r w:rsidR="00B116BB">
        <w:rPr>
          <w:lang w:val="en-IN"/>
        </w:rPr>
        <w:t xml:space="preserve"> we used two approaches to predict food insecurity for </w:t>
      </w:r>
      <w:r w:rsidR="00B1483F">
        <w:rPr>
          <w:lang w:val="en-IN"/>
        </w:rPr>
        <w:t xml:space="preserve">the </w:t>
      </w:r>
      <w:r w:rsidR="00B116BB">
        <w:rPr>
          <w:lang w:val="en-IN"/>
        </w:rPr>
        <w:t>first approach the dependent variable is a contin</w:t>
      </w:r>
      <w:r w:rsidR="00B1483F">
        <w:rPr>
          <w:lang w:val="en-IN"/>
        </w:rPr>
        <w:t>u</w:t>
      </w:r>
      <w:r w:rsidR="00B116BB">
        <w:rPr>
          <w:lang w:val="en-IN"/>
        </w:rPr>
        <w:t xml:space="preserve">ous food insecurity rate and for the second it </w:t>
      </w:r>
      <w:r w:rsidR="00B1483F">
        <w:rPr>
          <w:lang w:val="en-IN"/>
        </w:rPr>
        <w:t xml:space="preserve">is </w:t>
      </w:r>
      <w:r w:rsidR="00B116BB">
        <w:rPr>
          <w:lang w:val="en-IN"/>
        </w:rPr>
        <w:t>a</w:t>
      </w:r>
      <w:r w:rsidR="00B1483F">
        <w:rPr>
          <w:lang w:val="en-IN"/>
        </w:rPr>
        <w:t>n</w:t>
      </w:r>
      <w:r w:rsidR="00B116BB">
        <w:rPr>
          <w:lang w:val="en-IN"/>
        </w:rPr>
        <w:t xml:space="preserve"> ordinal variable created from the food insecurity rate.</w:t>
      </w:r>
    </w:p>
    <w:p w14:paraId="2572BE2D" w14:textId="77777777" w:rsidR="00BA63AD" w:rsidRPr="005702A9" w:rsidRDefault="00BA63AD" w:rsidP="56463BFA">
      <w:pPr>
        <w:pStyle w:val="BodyText"/>
        <w:rPr>
          <w:lang w:val="en-IN"/>
        </w:rPr>
      </w:pPr>
    </w:p>
    <w:p w14:paraId="3DE0D016" w14:textId="3C670134" w:rsidR="00440766" w:rsidRDefault="00F82C64" w:rsidP="00DB4FD3">
      <w:pPr>
        <w:pStyle w:val="Heading1"/>
        <w:jc w:val="center"/>
      </w:pPr>
      <w:r>
        <w:t>state</w:t>
      </w:r>
      <w:r w:rsidR="00B1483F">
        <w:t>-</w:t>
      </w:r>
      <w:r>
        <w:t xml:space="preserve">level </w:t>
      </w:r>
      <w:r w:rsidR="25F58879">
        <w:t xml:space="preserve"> </w:t>
      </w:r>
      <w:r>
        <w:t>r</w:t>
      </w:r>
      <w:r w:rsidR="25F58879">
        <w:t>esults</w:t>
      </w:r>
    </w:p>
    <w:p w14:paraId="72B3B86E" w14:textId="3217AD31" w:rsidR="00313CFB" w:rsidRDefault="00313CFB" w:rsidP="25F58879">
      <w:pPr>
        <w:jc w:val="center"/>
      </w:pPr>
    </w:p>
    <w:p w14:paraId="4F33D9B5" w14:textId="16014C40" w:rsidR="00313CFB" w:rsidRDefault="457E8975" w:rsidP="25F58879">
      <w:pPr>
        <w:spacing w:line="259" w:lineRule="auto"/>
        <w:jc w:val="both"/>
      </w:pPr>
      <w:r>
        <w:t>Results from the Multiple regression model</w:t>
      </w:r>
      <w:r w:rsidR="38B15CAD">
        <w:t xml:space="preserve"> from </w:t>
      </w:r>
      <w:r w:rsidR="21D47D13">
        <w:t xml:space="preserve">the state </w:t>
      </w:r>
      <w:r w:rsidR="38B15CAD">
        <w:t>level analysis</w:t>
      </w:r>
      <w:r>
        <w:t xml:space="preserve"> </w:t>
      </w:r>
      <w:r w:rsidR="595EEA14">
        <w:t>are</w:t>
      </w:r>
      <w:r>
        <w:t xml:space="preserve"> shown in </w:t>
      </w:r>
      <w:r w:rsidR="7459C2E3">
        <w:t>Fig</w:t>
      </w:r>
      <w:r w:rsidR="00F725B0">
        <w:t xml:space="preserve"> 2.</w:t>
      </w:r>
      <w:r w:rsidR="7459C2E3">
        <w:t xml:space="preserve"> and Fig</w:t>
      </w:r>
      <w:r w:rsidR="00F725B0">
        <w:t xml:space="preserve"> 3.</w:t>
      </w:r>
      <w:r w:rsidR="1507504B">
        <w:t xml:space="preserve"> for children and adults respectively</w:t>
      </w:r>
      <w:r w:rsidR="3F17F311">
        <w:t xml:space="preserve">. </w:t>
      </w:r>
      <w:r w:rsidR="13280432" w:rsidRPr="25F58879">
        <w:rPr>
          <w:rFonts w:eastAsia="Times New Roman"/>
          <w:color w:val="000000" w:themeColor="text1"/>
        </w:rPr>
        <w:t>The computation was done on Python 3.5 using Google Collaboratory, sklearn, pandas, and numpy libraries</w:t>
      </w:r>
      <w:r w:rsidR="2325C0F3" w:rsidRPr="25F58879">
        <w:rPr>
          <w:rFonts w:eastAsia="Times New Roman"/>
          <w:color w:val="000000" w:themeColor="text1"/>
        </w:rPr>
        <w:t xml:space="preserve"> Furthermore, Table II</w:t>
      </w:r>
      <w:r w:rsidR="00F725B0">
        <w:rPr>
          <w:rFonts w:eastAsia="Times New Roman"/>
          <w:color w:val="000000" w:themeColor="text1"/>
        </w:rPr>
        <w:t>I</w:t>
      </w:r>
      <w:r w:rsidR="2325C0F3" w:rsidRPr="25F58879">
        <w:rPr>
          <w:rFonts w:eastAsia="Times New Roman"/>
          <w:color w:val="000000" w:themeColor="text1"/>
        </w:rPr>
        <w:t xml:space="preserve"> shows a summary of how well the data fit these parameters.</w:t>
      </w:r>
      <w:r w:rsidR="13280432" w:rsidRPr="25F58879">
        <w:rPr>
          <w:rFonts w:eastAsia="Times New Roman"/>
          <w:color w:val="000000" w:themeColor="text1"/>
        </w:rPr>
        <w:t xml:space="preserve"> There is a huge improvement when we include the state name variable. Lasso works the worst in terms of regularization since an alpha of even 0.01 reduces the R-squared value whereas a careful selection of ridge regression keeps the R-squared value in the same range. Table II</w:t>
      </w:r>
      <w:r w:rsidR="001E1A9E">
        <w:rPr>
          <w:rFonts w:eastAsia="Times New Roman"/>
          <w:color w:val="000000" w:themeColor="text1"/>
        </w:rPr>
        <w:t>I</w:t>
      </w:r>
      <w:r w:rsidR="13280432" w:rsidRPr="25F58879">
        <w:rPr>
          <w:rFonts w:eastAsia="Times New Roman"/>
          <w:color w:val="000000" w:themeColor="text1"/>
        </w:rPr>
        <w:t xml:space="preserve"> shows the result from dataset </w:t>
      </w:r>
      <w:r w:rsidR="001E1A9E">
        <w:rPr>
          <w:rFonts w:eastAsia="Times New Roman"/>
          <w:color w:val="000000" w:themeColor="text1"/>
        </w:rPr>
        <w:t>1 and 2</w:t>
      </w:r>
      <w:r w:rsidR="13280432" w:rsidRPr="25F58879">
        <w:rPr>
          <w:rFonts w:eastAsia="Times New Roman"/>
          <w:color w:val="000000" w:themeColor="text1"/>
        </w:rPr>
        <w:t xml:space="preserve"> and similar observations can be seen for the state variable. In both data sets, we achieve a high R-squared model showing the effectiveness of the linear regression model. </w:t>
      </w:r>
      <w:r w:rsidR="7D768EE4" w:rsidRPr="25F58879">
        <w:rPr>
          <w:rFonts w:eastAsia="Times New Roman"/>
          <w:color w:val="000000" w:themeColor="text1"/>
        </w:rPr>
        <w:t>T</w:t>
      </w:r>
      <w:r w:rsidR="13280432" w:rsidRPr="25F58879">
        <w:rPr>
          <w:rFonts w:eastAsia="Times New Roman"/>
          <w:color w:val="000000" w:themeColor="text1"/>
        </w:rPr>
        <w:t>he coefficients of variables after running multiple linear regression and backward variable selection</w:t>
      </w:r>
      <w:r w:rsidR="0E33CCDF" w:rsidRPr="25F58879">
        <w:rPr>
          <w:rFonts w:eastAsia="Times New Roman"/>
          <w:color w:val="000000" w:themeColor="text1"/>
        </w:rPr>
        <w:t xml:space="preserve"> are well explained</w:t>
      </w:r>
      <w:r w:rsidR="13280432" w:rsidRPr="25F58879">
        <w:rPr>
          <w:rFonts w:eastAsia="Times New Roman"/>
          <w:color w:val="000000" w:themeColor="text1"/>
        </w:rPr>
        <w:t xml:space="preserve"> </w:t>
      </w:r>
      <w:r w:rsidR="1E241C4C" w:rsidRPr="25F58879">
        <w:rPr>
          <w:rFonts w:eastAsia="Times New Roman"/>
          <w:color w:val="000000" w:themeColor="text1"/>
        </w:rPr>
        <w:t>in</w:t>
      </w:r>
      <w:r w:rsidR="4BB0EBE7" w:rsidRPr="25F58879">
        <w:rPr>
          <w:rFonts w:eastAsia="Times New Roman"/>
          <w:color w:val="000000" w:themeColor="text1"/>
        </w:rPr>
        <w:t xml:space="preserve"> </w:t>
      </w:r>
      <w:r w:rsidR="00BA63AD">
        <w:rPr>
          <w:rFonts w:eastAsia="Times New Roman"/>
          <w:color w:val="000000" w:themeColor="text1"/>
        </w:rPr>
        <w:t xml:space="preserve">Fig </w:t>
      </w:r>
      <w:r w:rsidR="00F725B0">
        <w:rPr>
          <w:rFonts w:eastAsia="Times New Roman"/>
          <w:color w:val="000000" w:themeColor="text1"/>
        </w:rPr>
        <w:t>2</w:t>
      </w:r>
      <w:r w:rsidR="13280432" w:rsidRPr="25F58879">
        <w:rPr>
          <w:rFonts w:eastAsia="Times New Roman"/>
          <w:color w:val="000000" w:themeColor="text1"/>
        </w:rPr>
        <w:t xml:space="preserve">. it can be seen that the age of parents, </w:t>
      </w:r>
      <w:r w:rsidR="13280432" w:rsidRPr="25F58879">
        <w:rPr>
          <w:rFonts w:eastAsia="Times New Roman"/>
          <w:color w:val="000000" w:themeColor="text1"/>
          <w:lang w:val="en-IN"/>
        </w:rPr>
        <w:t xml:space="preserve">adverse childhood experiences (ACE), food assistance, and mental health problems are the key factors contributing to child insecurity. </w:t>
      </w:r>
      <w:r w:rsidR="518CFC18" w:rsidRPr="25F58879">
        <w:rPr>
          <w:rFonts w:eastAsia="Times New Roman"/>
          <w:color w:val="000000" w:themeColor="text1"/>
          <w:lang w:val="en-IN"/>
        </w:rPr>
        <w:t>Similarly,</w:t>
      </w:r>
      <w:r w:rsidR="13280432" w:rsidRPr="25F58879">
        <w:rPr>
          <w:rFonts w:eastAsia="Times New Roman"/>
          <w:color w:val="000000" w:themeColor="text1"/>
          <w:lang w:val="en-IN"/>
        </w:rPr>
        <w:t xml:space="preserve"> from Fig. </w:t>
      </w:r>
      <w:r w:rsidR="00F725B0">
        <w:rPr>
          <w:rFonts w:eastAsia="Times New Roman"/>
          <w:color w:val="000000" w:themeColor="text1"/>
          <w:lang w:val="en-IN"/>
        </w:rPr>
        <w:t>3</w:t>
      </w:r>
      <w:r w:rsidR="13280432" w:rsidRPr="25F58879">
        <w:rPr>
          <w:rFonts w:eastAsia="Times New Roman"/>
          <w:color w:val="000000" w:themeColor="text1"/>
          <w:lang w:val="en-IN"/>
        </w:rPr>
        <w:t>. drug abuse and disease which restrict physical limitations are causes of food insecurity in adults</w:t>
      </w:r>
      <w:r w:rsidR="13280432" w:rsidRPr="25F58879">
        <w:rPr>
          <w:rFonts w:eastAsia="Times New Roman"/>
          <w:color w:val="000000" w:themeColor="text1"/>
        </w:rPr>
        <w:t xml:space="preserve">. Hence a </w:t>
      </w:r>
      <w:r w:rsidR="00BA63AD">
        <w:rPr>
          <w:rFonts w:eastAsia="Times New Roman"/>
          <w:color w:val="000000" w:themeColor="text1"/>
        </w:rPr>
        <w:t xml:space="preserve">prediction model </w:t>
      </w:r>
      <w:r w:rsidR="13280432" w:rsidRPr="25F58879">
        <w:rPr>
          <w:rFonts w:eastAsia="Times New Roman"/>
          <w:color w:val="000000" w:themeColor="text1"/>
        </w:rPr>
        <w:t>can be formed using these health metrics. The dominance of the state name variable can be due to the fact of a short timeline or there is a need to explore more variables that explain food insecurity with more clarity other than the current health metrics.</w:t>
      </w:r>
    </w:p>
    <w:p w14:paraId="3EE2626D" w14:textId="2475B674" w:rsidR="00313CFB" w:rsidRDefault="00313CFB" w:rsidP="25F58879"/>
    <w:p w14:paraId="43B2E3E8" w14:textId="2317DEE9" w:rsidR="00313CFB" w:rsidRDefault="2A660E36" w:rsidP="25F58879">
      <w:pPr>
        <w:jc w:val="both"/>
      </w:pPr>
      <w:r w:rsidRPr="25F58879">
        <w:rPr>
          <w:rFonts w:eastAsia="Times New Roman"/>
          <w:color w:val="000000" w:themeColor="text1"/>
          <w:sz w:val="16"/>
          <w:szCs w:val="16"/>
          <w:lang w:val="en-IN"/>
        </w:rPr>
        <w:t>TABLE II</w:t>
      </w:r>
      <w:r w:rsidR="001E1A9E">
        <w:rPr>
          <w:rFonts w:eastAsia="Times New Roman"/>
          <w:color w:val="000000" w:themeColor="text1"/>
          <w:sz w:val="16"/>
          <w:szCs w:val="16"/>
          <w:lang w:val="en-IN"/>
        </w:rPr>
        <w:t>I</w:t>
      </w:r>
    </w:p>
    <w:p w14:paraId="59AF0F44" w14:textId="3E5A79A8" w:rsidR="00313CFB" w:rsidRDefault="2A660E36" w:rsidP="25F58879">
      <w:pPr>
        <w:jc w:val="both"/>
        <w:rPr>
          <w:rFonts w:eastAsia="Times New Roman"/>
          <w:color w:val="000000" w:themeColor="text1"/>
        </w:rPr>
      </w:pPr>
      <w:r w:rsidRPr="25F58879">
        <w:rPr>
          <w:rFonts w:eastAsia="Times New Roman"/>
          <w:color w:val="000000" w:themeColor="text1"/>
          <w:sz w:val="16"/>
          <w:szCs w:val="16"/>
          <w:lang w:val="en-IN"/>
        </w:rPr>
        <w:t>R-squared value for different regression variables</w:t>
      </w:r>
      <w:r w:rsidRPr="25F58879">
        <w:rPr>
          <w:rFonts w:eastAsia="Times New Roman"/>
          <w:color w:val="000000" w:themeColor="text1"/>
        </w:rPr>
        <w:t xml:space="preserve"> </w:t>
      </w:r>
    </w:p>
    <w:tbl>
      <w:tblPr>
        <w:tblW w:w="4720" w:type="dxa"/>
        <w:tblInd w:w="135" w:type="dxa"/>
        <w:tblLayout w:type="fixed"/>
        <w:tblLook w:val="06A0" w:firstRow="1" w:lastRow="0" w:firstColumn="1" w:lastColumn="0" w:noHBand="1" w:noVBand="1"/>
      </w:tblPr>
      <w:tblGrid>
        <w:gridCol w:w="1030"/>
        <w:gridCol w:w="1175"/>
        <w:gridCol w:w="1255"/>
        <w:gridCol w:w="1260"/>
      </w:tblGrid>
      <w:tr w:rsidR="00166ED1" w14:paraId="378400F2" w14:textId="77777777" w:rsidTr="00A614AF">
        <w:trPr>
          <w:trHeight w:val="285"/>
        </w:trPr>
        <w:tc>
          <w:tcPr>
            <w:tcW w:w="1030" w:type="dxa"/>
            <w:tcBorders>
              <w:top w:val="single" w:sz="4" w:space="0" w:color="auto"/>
              <w:left w:val="single" w:sz="4" w:space="0" w:color="auto"/>
              <w:bottom w:val="single" w:sz="4" w:space="0" w:color="auto"/>
            </w:tcBorders>
            <w:vAlign w:val="center"/>
          </w:tcPr>
          <w:p w14:paraId="2296FED3" w14:textId="77777777" w:rsidR="00166ED1" w:rsidRDefault="00166ED1" w:rsidP="00A614AF"/>
        </w:tc>
        <w:tc>
          <w:tcPr>
            <w:tcW w:w="3690" w:type="dxa"/>
            <w:gridSpan w:val="3"/>
            <w:tcBorders>
              <w:top w:val="single" w:sz="4" w:space="0" w:color="auto"/>
              <w:bottom w:val="single" w:sz="4" w:space="0" w:color="auto"/>
              <w:right w:val="single" w:sz="4" w:space="0" w:color="auto"/>
            </w:tcBorders>
            <w:vAlign w:val="center"/>
          </w:tcPr>
          <w:p w14:paraId="15BABA26" w14:textId="77777777" w:rsidR="00166ED1" w:rsidRPr="00707788" w:rsidRDefault="00166ED1" w:rsidP="00A614AF">
            <w:pPr>
              <w:jc w:val="center"/>
              <w:rPr>
                <w:b/>
                <w:bCs/>
              </w:rPr>
            </w:pPr>
            <w:r w:rsidRPr="00707788">
              <w:rPr>
                <w:rFonts w:eastAsia="Times New Roman"/>
                <w:b/>
                <w:bCs/>
                <w:color w:val="000000" w:themeColor="text1"/>
                <w:sz w:val="16"/>
                <w:szCs w:val="16"/>
                <w:lang w:val="en-IN"/>
              </w:rPr>
              <w:t>Without State Name variable</w:t>
            </w:r>
          </w:p>
        </w:tc>
      </w:tr>
      <w:tr w:rsidR="00166ED1" w14:paraId="02987999" w14:textId="77777777" w:rsidTr="00A614AF">
        <w:trPr>
          <w:trHeight w:val="285"/>
        </w:trPr>
        <w:tc>
          <w:tcPr>
            <w:tcW w:w="1030" w:type="dxa"/>
            <w:tcBorders>
              <w:top w:val="single" w:sz="4" w:space="0" w:color="auto"/>
              <w:left w:val="single" w:sz="4" w:space="0" w:color="auto"/>
              <w:bottom w:val="single" w:sz="4" w:space="0" w:color="auto"/>
              <w:right w:val="single" w:sz="4" w:space="0" w:color="auto"/>
            </w:tcBorders>
            <w:vAlign w:val="center"/>
          </w:tcPr>
          <w:p w14:paraId="5E252625" w14:textId="77777777" w:rsidR="00166ED1" w:rsidRPr="009473CD" w:rsidRDefault="00166ED1" w:rsidP="00A614AF">
            <w:pPr>
              <w:jc w:val="center"/>
            </w:pPr>
            <w:r w:rsidRPr="009473CD">
              <w:rPr>
                <w:rFonts w:eastAsia="Times New Roman"/>
                <w:color w:val="000000" w:themeColor="text1"/>
                <w:sz w:val="16"/>
                <w:szCs w:val="16"/>
                <w:lang w:val="en-IN"/>
              </w:rPr>
              <w:t>Data</w:t>
            </w:r>
          </w:p>
        </w:tc>
        <w:tc>
          <w:tcPr>
            <w:tcW w:w="1175" w:type="dxa"/>
            <w:tcBorders>
              <w:top w:val="single" w:sz="4" w:space="0" w:color="auto"/>
              <w:left w:val="single" w:sz="4" w:space="0" w:color="auto"/>
              <w:bottom w:val="single" w:sz="4" w:space="0" w:color="auto"/>
              <w:right w:val="nil"/>
            </w:tcBorders>
            <w:vAlign w:val="center"/>
          </w:tcPr>
          <w:p w14:paraId="5235384D" w14:textId="77777777" w:rsidR="00166ED1" w:rsidRPr="009473CD" w:rsidRDefault="00166ED1" w:rsidP="00A614AF">
            <w:pPr>
              <w:jc w:val="center"/>
            </w:pPr>
            <w:r w:rsidRPr="009473CD">
              <w:rPr>
                <w:rFonts w:eastAsia="Times New Roman"/>
                <w:color w:val="000000" w:themeColor="text1"/>
                <w:sz w:val="16"/>
                <w:szCs w:val="16"/>
                <w:lang w:val="en-IN"/>
              </w:rPr>
              <w:t>Linear regression</w:t>
            </w:r>
          </w:p>
        </w:tc>
        <w:tc>
          <w:tcPr>
            <w:tcW w:w="1255" w:type="dxa"/>
            <w:tcBorders>
              <w:top w:val="single" w:sz="4" w:space="0" w:color="auto"/>
              <w:left w:val="nil"/>
              <w:bottom w:val="single" w:sz="4" w:space="0" w:color="auto"/>
              <w:right w:val="nil"/>
            </w:tcBorders>
            <w:vAlign w:val="center"/>
          </w:tcPr>
          <w:p w14:paraId="5EBDBA29" w14:textId="77777777" w:rsidR="00166ED1" w:rsidRPr="009473CD" w:rsidRDefault="00166ED1" w:rsidP="00A614AF">
            <w:pPr>
              <w:jc w:val="center"/>
            </w:pPr>
            <w:r w:rsidRPr="009473CD">
              <w:rPr>
                <w:rFonts w:eastAsia="Times New Roman"/>
                <w:color w:val="000000" w:themeColor="text1"/>
                <w:sz w:val="16"/>
                <w:szCs w:val="16"/>
                <w:lang w:val="en-IN"/>
              </w:rPr>
              <w:t>Ridge (alpha=5)</w:t>
            </w:r>
          </w:p>
        </w:tc>
        <w:tc>
          <w:tcPr>
            <w:tcW w:w="1260" w:type="dxa"/>
            <w:tcBorders>
              <w:top w:val="single" w:sz="4" w:space="0" w:color="auto"/>
              <w:left w:val="nil"/>
              <w:bottom w:val="single" w:sz="4" w:space="0" w:color="auto"/>
              <w:right w:val="single" w:sz="4" w:space="0" w:color="auto"/>
            </w:tcBorders>
            <w:vAlign w:val="center"/>
          </w:tcPr>
          <w:p w14:paraId="2F9BAF15" w14:textId="77777777" w:rsidR="00166ED1" w:rsidRPr="009473CD" w:rsidRDefault="00166ED1" w:rsidP="00A614AF">
            <w:pPr>
              <w:jc w:val="center"/>
            </w:pPr>
            <w:r w:rsidRPr="009473CD">
              <w:rPr>
                <w:rFonts w:eastAsia="Times New Roman"/>
                <w:color w:val="000000" w:themeColor="text1"/>
                <w:sz w:val="16"/>
                <w:szCs w:val="16"/>
                <w:lang w:val="en-IN"/>
              </w:rPr>
              <w:t>Lasso (alpha=0.001)</w:t>
            </w:r>
          </w:p>
        </w:tc>
      </w:tr>
      <w:tr w:rsidR="00166ED1" w14:paraId="2F8DE598" w14:textId="77777777" w:rsidTr="00A614AF">
        <w:trPr>
          <w:trHeight w:val="285"/>
        </w:trPr>
        <w:tc>
          <w:tcPr>
            <w:tcW w:w="1030" w:type="dxa"/>
            <w:tcBorders>
              <w:top w:val="single" w:sz="4" w:space="0" w:color="auto"/>
              <w:left w:val="single" w:sz="4" w:space="0" w:color="auto"/>
              <w:right w:val="single" w:sz="4" w:space="0" w:color="auto"/>
            </w:tcBorders>
            <w:vAlign w:val="center"/>
          </w:tcPr>
          <w:p w14:paraId="2E7D8234" w14:textId="77777777" w:rsidR="00166ED1" w:rsidRDefault="00166ED1" w:rsidP="00A614AF">
            <w:pPr>
              <w:jc w:val="center"/>
            </w:pPr>
            <w:r w:rsidRPr="25F58879">
              <w:rPr>
                <w:rFonts w:eastAsia="Times New Roman"/>
                <w:color w:val="000000" w:themeColor="text1"/>
                <w:sz w:val="16"/>
                <w:szCs w:val="16"/>
                <w:lang w:val="en-IN"/>
              </w:rPr>
              <w:t>DATA 1</w:t>
            </w:r>
          </w:p>
        </w:tc>
        <w:tc>
          <w:tcPr>
            <w:tcW w:w="1175" w:type="dxa"/>
            <w:tcBorders>
              <w:top w:val="single" w:sz="4" w:space="0" w:color="auto"/>
              <w:left w:val="single" w:sz="4" w:space="0" w:color="auto"/>
              <w:bottom w:val="nil"/>
              <w:right w:val="nil"/>
            </w:tcBorders>
            <w:vAlign w:val="center"/>
          </w:tcPr>
          <w:p w14:paraId="1FF8D166" w14:textId="77777777" w:rsidR="00166ED1" w:rsidRDefault="00166ED1" w:rsidP="00A614AF">
            <w:pPr>
              <w:jc w:val="center"/>
            </w:pPr>
            <w:r w:rsidRPr="25F58879">
              <w:rPr>
                <w:rFonts w:eastAsia="Times New Roman"/>
                <w:color w:val="000000" w:themeColor="text1"/>
                <w:sz w:val="16"/>
                <w:szCs w:val="16"/>
                <w:lang w:val="en-IN"/>
              </w:rPr>
              <w:t>0.61</w:t>
            </w:r>
          </w:p>
        </w:tc>
        <w:tc>
          <w:tcPr>
            <w:tcW w:w="1255" w:type="dxa"/>
            <w:tcBorders>
              <w:top w:val="single" w:sz="4" w:space="0" w:color="auto"/>
            </w:tcBorders>
            <w:vAlign w:val="center"/>
          </w:tcPr>
          <w:p w14:paraId="2785EBA1" w14:textId="77777777" w:rsidR="00166ED1" w:rsidRDefault="00166ED1" w:rsidP="00A614AF">
            <w:pPr>
              <w:jc w:val="center"/>
            </w:pPr>
            <w:r w:rsidRPr="25F58879">
              <w:rPr>
                <w:rFonts w:eastAsia="Times New Roman"/>
                <w:color w:val="000000" w:themeColor="text1"/>
                <w:sz w:val="16"/>
                <w:szCs w:val="16"/>
                <w:lang w:val="en-IN"/>
              </w:rPr>
              <w:t>0.46</w:t>
            </w:r>
          </w:p>
        </w:tc>
        <w:tc>
          <w:tcPr>
            <w:tcW w:w="1260" w:type="dxa"/>
            <w:tcBorders>
              <w:top w:val="single" w:sz="4" w:space="0" w:color="auto"/>
              <w:bottom w:val="nil"/>
              <w:right w:val="single" w:sz="4" w:space="0" w:color="auto"/>
            </w:tcBorders>
            <w:vAlign w:val="center"/>
          </w:tcPr>
          <w:p w14:paraId="57AD5475" w14:textId="77777777" w:rsidR="00166ED1" w:rsidRDefault="00166ED1" w:rsidP="00A614AF">
            <w:pPr>
              <w:jc w:val="center"/>
            </w:pPr>
            <w:r w:rsidRPr="25F58879">
              <w:rPr>
                <w:rFonts w:eastAsia="Times New Roman"/>
                <w:color w:val="000000" w:themeColor="text1"/>
                <w:sz w:val="16"/>
                <w:szCs w:val="16"/>
                <w:lang w:val="en-IN"/>
              </w:rPr>
              <w:t>0.435</w:t>
            </w:r>
          </w:p>
        </w:tc>
      </w:tr>
      <w:tr w:rsidR="00166ED1" w14:paraId="1AFAA174" w14:textId="77777777" w:rsidTr="00A614AF">
        <w:trPr>
          <w:trHeight w:val="285"/>
        </w:trPr>
        <w:tc>
          <w:tcPr>
            <w:tcW w:w="1030" w:type="dxa"/>
            <w:tcBorders>
              <w:left w:val="single" w:sz="4" w:space="0" w:color="auto"/>
              <w:bottom w:val="single" w:sz="4" w:space="0" w:color="auto"/>
              <w:right w:val="single" w:sz="4" w:space="0" w:color="auto"/>
            </w:tcBorders>
            <w:vAlign w:val="center"/>
          </w:tcPr>
          <w:p w14:paraId="71ADD0EE" w14:textId="77777777" w:rsidR="00166ED1" w:rsidRDefault="00166ED1" w:rsidP="00A614AF">
            <w:pPr>
              <w:jc w:val="center"/>
            </w:pPr>
            <w:r w:rsidRPr="25F58879">
              <w:rPr>
                <w:rFonts w:eastAsia="Times New Roman"/>
                <w:color w:val="000000" w:themeColor="text1"/>
                <w:sz w:val="16"/>
                <w:szCs w:val="16"/>
                <w:lang w:val="en-IN"/>
              </w:rPr>
              <w:t>DATA 2</w:t>
            </w:r>
          </w:p>
        </w:tc>
        <w:tc>
          <w:tcPr>
            <w:tcW w:w="1175" w:type="dxa"/>
            <w:tcBorders>
              <w:top w:val="nil"/>
              <w:left w:val="single" w:sz="4" w:space="0" w:color="auto"/>
              <w:bottom w:val="single" w:sz="4" w:space="0" w:color="auto"/>
              <w:right w:val="nil"/>
            </w:tcBorders>
            <w:vAlign w:val="center"/>
          </w:tcPr>
          <w:p w14:paraId="34353D10" w14:textId="77777777" w:rsidR="00166ED1" w:rsidRDefault="00166ED1" w:rsidP="00A614AF">
            <w:pPr>
              <w:jc w:val="center"/>
            </w:pPr>
            <w:r w:rsidRPr="25F58879">
              <w:rPr>
                <w:rFonts w:eastAsia="Times New Roman"/>
                <w:color w:val="000000" w:themeColor="text1"/>
                <w:sz w:val="16"/>
                <w:szCs w:val="16"/>
                <w:lang w:val="en-IN"/>
              </w:rPr>
              <w:t>0.69</w:t>
            </w:r>
          </w:p>
        </w:tc>
        <w:tc>
          <w:tcPr>
            <w:tcW w:w="1255" w:type="dxa"/>
            <w:tcBorders>
              <w:left w:val="nil"/>
              <w:bottom w:val="single" w:sz="4" w:space="0" w:color="auto"/>
              <w:right w:val="nil"/>
            </w:tcBorders>
            <w:vAlign w:val="center"/>
          </w:tcPr>
          <w:p w14:paraId="7974595D" w14:textId="77777777" w:rsidR="00166ED1" w:rsidRDefault="00166ED1" w:rsidP="00A614AF">
            <w:pPr>
              <w:jc w:val="center"/>
            </w:pPr>
            <w:r w:rsidRPr="25F58879">
              <w:rPr>
                <w:rFonts w:eastAsia="Times New Roman"/>
                <w:color w:val="000000" w:themeColor="text1"/>
                <w:sz w:val="16"/>
                <w:szCs w:val="16"/>
                <w:lang w:val="en-IN"/>
              </w:rPr>
              <w:t>0.69</w:t>
            </w:r>
          </w:p>
        </w:tc>
        <w:tc>
          <w:tcPr>
            <w:tcW w:w="1260" w:type="dxa"/>
            <w:tcBorders>
              <w:top w:val="nil"/>
              <w:left w:val="nil"/>
              <w:bottom w:val="single" w:sz="4" w:space="0" w:color="auto"/>
              <w:right w:val="single" w:sz="4" w:space="0" w:color="auto"/>
            </w:tcBorders>
            <w:vAlign w:val="center"/>
          </w:tcPr>
          <w:p w14:paraId="7F953AB8" w14:textId="77777777" w:rsidR="00166ED1" w:rsidRDefault="00166ED1" w:rsidP="00A614AF">
            <w:pPr>
              <w:jc w:val="center"/>
            </w:pPr>
            <w:r w:rsidRPr="25F58879">
              <w:rPr>
                <w:rFonts w:eastAsia="Times New Roman"/>
                <w:color w:val="000000" w:themeColor="text1"/>
                <w:sz w:val="16"/>
                <w:szCs w:val="16"/>
                <w:lang w:val="en-IN"/>
              </w:rPr>
              <w:t>0.515</w:t>
            </w:r>
          </w:p>
        </w:tc>
      </w:tr>
      <w:tr w:rsidR="00166ED1" w14:paraId="16DF34FF" w14:textId="77777777" w:rsidTr="00A614AF">
        <w:trPr>
          <w:trHeight w:val="285"/>
        </w:trPr>
        <w:tc>
          <w:tcPr>
            <w:tcW w:w="1030" w:type="dxa"/>
            <w:tcBorders>
              <w:top w:val="single" w:sz="4" w:space="0" w:color="auto"/>
              <w:left w:val="single" w:sz="4" w:space="0" w:color="auto"/>
              <w:bottom w:val="single" w:sz="4" w:space="0" w:color="auto"/>
            </w:tcBorders>
            <w:vAlign w:val="center"/>
          </w:tcPr>
          <w:p w14:paraId="1C109551" w14:textId="77777777" w:rsidR="00166ED1" w:rsidRDefault="00166ED1" w:rsidP="00A614AF"/>
        </w:tc>
        <w:tc>
          <w:tcPr>
            <w:tcW w:w="3690" w:type="dxa"/>
            <w:gridSpan w:val="3"/>
            <w:tcBorders>
              <w:top w:val="single" w:sz="4" w:space="0" w:color="auto"/>
              <w:bottom w:val="single" w:sz="4" w:space="0" w:color="auto"/>
              <w:right w:val="single" w:sz="4" w:space="0" w:color="auto"/>
            </w:tcBorders>
            <w:vAlign w:val="center"/>
          </w:tcPr>
          <w:p w14:paraId="433D046A" w14:textId="77777777" w:rsidR="00166ED1" w:rsidRPr="00707788" w:rsidRDefault="00166ED1" w:rsidP="00A614AF">
            <w:pPr>
              <w:jc w:val="center"/>
              <w:rPr>
                <w:b/>
                <w:bCs/>
              </w:rPr>
            </w:pPr>
            <w:r w:rsidRPr="00707788">
              <w:rPr>
                <w:rFonts w:eastAsia="Times New Roman"/>
                <w:b/>
                <w:bCs/>
                <w:color w:val="000000" w:themeColor="text1"/>
                <w:sz w:val="16"/>
                <w:szCs w:val="16"/>
                <w:lang w:val="en-IN"/>
              </w:rPr>
              <w:t>With State Name variable</w:t>
            </w:r>
          </w:p>
        </w:tc>
      </w:tr>
      <w:tr w:rsidR="00166ED1" w14:paraId="6FBF47AC" w14:textId="77777777" w:rsidTr="00A614AF">
        <w:trPr>
          <w:trHeight w:val="285"/>
        </w:trPr>
        <w:tc>
          <w:tcPr>
            <w:tcW w:w="1030" w:type="dxa"/>
            <w:tcBorders>
              <w:top w:val="single" w:sz="4" w:space="0" w:color="auto"/>
              <w:left w:val="single" w:sz="4" w:space="0" w:color="auto"/>
              <w:bottom w:val="single" w:sz="4" w:space="0" w:color="auto"/>
              <w:right w:val="single" w:sz="4" w:space="0" w:color="auto"/>
            </w:tcBorders>
            <w:vAlign w:val="center"/>
          </w:tcPr>
          <w:p w14:paraId="0C00CFFD" w14:textId="77777777" w:rsidR="00166ED1" w:rsidRPr="009473CD" w:rsidRDefault="00166ED1" w:rsidP="00A614AF">
            <w:pPr>
              <w:jc w:val="center"/>
            </w:pPr>
            <w:r w:rsidRPr="009473CD">
              <w:rPr>
                <w:rFonts w:eastAsia="Times New Roman"/>
                <w:color w:val="000000" w:themeColor="text1"/>
                <w:sz w:val="16"/>
                <w:szCs w:val="16"/>
                <w:lang w:val="en-IN"/>
              </w:rPr>
              <w:t>Data</w:t>
            </w:r>
          </w:p>
        </w:tc>
        <w:tc>
          <w:tcPr>
            <w:tcW w:w="1175" w:type="dxa"/>
            <w:tcBorders>
              <w:top w:val="single" w:sz="4" w:space="0" w:color="auto"/>
              <w:left w:val="single" w:sz="4" w:space="0" w:color="auto"/>
              <w:bottom w:val="single" w:sz="4" w:space="0" w:color="auto"/>
              <w:right w:val="nil"/>
            </w:tcBorders>
            <w:vAlign w:val="center"/>
          </w:tcPr>
          <w:p w14:paraId="1637DCFA" w14:textId="77777777" w:rsidR="00166ED1" w:rsidRPr="009473CD" w:rsidRDefault="00166ED1" w:rsidP="00A614AF">
            <w:pPr>
              <w:jc w:val="center"/>
            </w:pPr>
            <w:r w:rsidRPr="009473CD">
              <w:rPr>
                <w:rFonts w:eastAsia="Times New Roman"/>
                <w:color w:val="000000" w:themeColor="text1"/>
                <w:sz w:val="16"/>
                <w:szCs w:val="16"/>
                <w:lang w:val="en-IN"/>
              </w:rPr>
              <w:t>Linear regression</w:t>
            </w:r>
          </w:p>
        </w:tc>
        <w:tc>
          <w:tcPr>
            <w:tcW w:w="1255" w:type="dxa"/>
            <w:tcBorders>
              <w:top w:val="single" w:sz="4" w:space="0" w:color="auto"/>
              <w:left w:val="nil"/>
              <w:bottom w:val="single" w:sz="4" w:space="0" w:color="auto"/>
              <w:right w:val="nil"/>
            </w:tcBorders>
            <w:vAlign w:val="center"/>
          </w:tcPr>
          <w:p w14:paraId="782521E8" w14:textId="77777777" w:rsidR="00166ED1" w:rsidRPr="009473CD" w:rsidRDefault="00166ED1" w:rsidP="00A614AF">
            <w:pPr>
              <w:jc w:val="center"/>
            </w:pPr>
            <w:r w:rsidRPr="009473CD">
              <w:rPr>
                <w:rFonts w:eastAsia="Times New Roman"/>
                <w:color w:val="000000" w:themeColor="text1"/>
                <w:sz w:val="16"/>
                <w:szCs w:val="16"/>
                <w:lang w:val="en-IN"/>
              </w:rPr>
              <w:t>Ridge (alpha=5)</w:t>
            </w:r>
          </w:p>
        </w:tc>
        <w:tc>
          <w:tcPr>
            <w:tcW w:w="1260" w:type="dxa"/>
            <w:tcBorders>
              <w:top w:val="single" w:sz="4" w:space="0" w:color="auto"/>
              <w:left w:val="nil"/>
              <w:bottom w:val="single" w:sz="4" w:space="0" w:color="auto"/>
              <w:right w:val="single" w:sz="4" w:space="0" w:color="auto"/>
            </w:tcBorders>
            <w:vAlign w:val="center"/>
          </w:tcPr>
          <w:p w14:paraId="4392BF3C" w14:textId="77777777" w:rsidR="00166ED1" w:rsidRPr="009473CD" w:rsidRDefault="00166ED1" w:rsidP="00A614AF">
            <w:pPr>
              <w:jc w:val="center"/>
            </w:pPr>
            <w:r w:rsidRPr="009473CD">
              <w:rPr>
                <w:rFonts w:eastAsia="Times New Roman"/>
                <w:color w:val="000000" w:themeColor="text1"/>
                <w:sz w:val="16"/>
                <w:szCs w:val="16"/>
                <w:lang w:val="en-IN"/>
              </w:rPr>
              <w:t>Lasso (alpha=0.001)</w:t>
            </w:r>
          </w:p>
        </w:tc>
      </w:tr>
      <w:tr w:rsidR="00166ED1" w14:paraId="33C06BA1" w14:textId="77777777" w:rsidTr="00A614AF">
        <w:trPr>
          <w:trHeight w:val="285"/>
        </w:trPr>
        <w:tc>
          <w:tcPr>
            <w:tcW w:w="1030" w:type="dxa"/>
            <w:tcBorders>
              <w:top w:val="single" w:sz="4" w:space="0" w:color="auto"/>
              <w:left w:val="single" w:sz="4" w:space="0" w:color="auto"/>
              <w:right w:val="single" w:sz="4" w:space="0" w:color="auto"/>
            </w:tcBorders>
            <w:vAlign w:val="center"/>
          </w:tcPr>
          <w:p w14:paraId="182D7A63" w14:textId="77777777" w:rsidR="00166ED1" w:rsidRDefault="00166ED1" w:rsidP="00A614AF">
            <w:pPr>
              <w:jc w:val="center"/>
            </w:pPr>
            <w:r w:rsidRPr="25F58879">
              <w:rPr>
                <w:rFonts w:eastAsia="Times New Roman"/>
                <w:color w:val="000000" w:themeColor="text1"/>
                <w:sz w:val="16"/>
                <w:szCs w:val="16"/>
                <w:lang w:val="en-IN"/>
              </w:rPr>
              <w:t>DATA 1</w:t>
            </w:r>
          </w:p>
        </w:tc>
        <w:tc>
          <w:tcPr>
            <w:tcW w:w="1175" w:type="dxa"/>
            <w:tcBorders>
              <w:top w:val="single" w:sz="4" w:space="0" w:color="auto"/>
              <w:left w:val="single" w:sz="4" w:space="0" w:color="auto"/>
              <w:bottom w:val="nil"/>
              <w:right w:val="nil"/>
            </w:tcBorders>
            <w:vAlign w:val="center"/>
          </w:tcPr>
          <w:p w14:paraId="23BCE6D5" w14:textId="77777777" w:rsidR="00166ED1" w:rsidRDefault="00166ED1" w:rsidP="00A614AF">
            <w:pPr>
              <w:jc w:val="center"/>
            </w:pPr>
            <w:r w:rsidRPr="25F58879">
              <w:rPr>
                <w:rFonts w:eastAsia="Times New Roman"/>
                <w:color w:val="000000" w:themeColor="text1"/>
                <w:sz w:val="16"/>
                <w:szCs w:val="16"/>
                <w:lang w:val="en-IN"/>
              </w:rPr>
              <w:t>0.</w:t>
            </w:r>
            <w:r>
              <w:rPr>
                <w:rFonts w:eastAsia="Times New Roman"/>
                <w:color w:val="000000" w:themeColor="text1"/>
                <w:sz w:val="16"/>
                <w:szCs w:val="16"/>
                <w:lang w:val="en-IN"/>
              </w:rPr>
              <w:t>974</w:t>
            </w:r>
          </w:p>
        </w:tc>
        <w:tc>
          <w:tcPr>
            <w:tcW w:w="1255" w:type="dxa"/>
            <w:tcBorders>
              <w:top w:val="single" w:sz="4" w:space="0" w:color="auto"/>
            </w:tcBorders>
            <w:vAlign w:val="center"/>
          </w:tcPr>
          <w:p w14:paraId="20F03C11" w14:textId="77777777" w:rsidR="00166ED1" w:rsidRDefault="00166ED1" w:rsidP="00A614AF">
            <w:pPr>
              <w:jc w:val="center"/>
            </w:pPr>
            <w:r w:rsidRPr="25F58879">
              <w:rPr>
                <w:rFonts w:eastAsia="Times New Roman"/>
                <w:color w:val="000000" w:themeColor="text1"/>
                <w:sz w:val="16"/>
                <w:szCs w:val="16"/>
                <w:lang w:val="en-IN"/>
              </w:rPr>
              <w:t>0.</w:t>
            </w:r>
            <w:r>
              <w:rPr>
                <w:rFonts w:eastAsia="Times New Roman"/>
                <w:color w:val="000000" w:themeColor="text1"/>
                <w:sz w:val="16"/>
                <w:szCs w:val="16"/>
                <w:lang w:val="en-IN"/>
              </w:rPr>
              <w:t>72</w:t>
            </w:r>
          </w:p>
        </w:tc>
        <w:tc>
          <w:tcPr>
            <w:tcW w:w="1260" w:type="dxa"/>
            <w:tcBorders>
              <w:top w:val="single" w:sz="4" w:space="0" w:color="auto"/>
              <w:bottom w:val="nil"/>
              <w:right w:val="single" w:sz="4" w:space="0" w:color="auto"/>
            </w:tcBorders>
            <w:vAlign w:val="center"/>
          </w:tcPr>
          <w:p w14:paraId="3B3D24FA" w14:textId="77777777" w:rsidR="00166ED1" w:rsidRDefault="00166ED1" w:rsidP="00A614AF">
            <w:pPr>
              <w:jc w:val="center"/>
            </w:pPr>
            <w:r w:rsidRPr="25F58879">
              <w:rPr>
                <w:rFonts w:eastAsia="Times New Roman"/>
                <w:color w:val="000000" w:themeColor="text1"/>
                <w:sz w:val="16"/>
                <w:szCs w:val="16"/>
                <w:lang w:val="en-IN"/>
              </w:rPr>
              <w:t>0.43</w:t>
            </w:r>
          </w:p>
        </w:tc>
      </w:tr>
      <w:tr w:rsidR="00166ED1" w14:paraId="0DF9436B" w14:textId="77777777" w:rsidTr="00A614AF">
        <w:trPr>
          <w:trHeight w:val="285"/>
        </w:trPr>
        <w:tc>
          <w:tcPr>
            <w:tcW w:w="1030" w:type="dxa"/>
            <w:tcBorders>
              <w:left w:val="single" w:sz="4" w:space="0" w:color="auto"/>
              <w:bottom w:val="single" w:sz="4" w:space="0" w:color="auto"/>
              <w:right w:val="single" w:sz="4" w:space="0" w:color="auto"/>
            </w:tcBorders>
            <w:vAlign w:val="center"/>
          </w:tcPr>
          <w:p w14:paraId="77EDCD09" w14:textId="77777777" w:rsidR="00166ED1" w:rsidRDefault="00166ED1" w:rsidP="00A614AF">
            <w:pPr>
              <w:jc w:val="center"/>
            </w:pPr>
            <w:r w:rsidRPr="25F58879">
              <w:rPr>
                <w:rFonts w:eastAsia="Times New Roman"/>
                <w:color w:val="000000" w:themeColor="text1"/>
                <w:sz w:val="16"/>
                <w:szCs w:val="16"/>
                <w:lang w:val="en-IN"/>
              </w:rPr>
              <w:t>DATA 2</w:t>
            </w:r>
          </w:p>
        </w:tc>
        <w:tc>
          <w:tcPr>
            <w:tcW w:w="1175" w:type="dxa"/>
            <w:tcBorders>
              <w:top w:val="nil"/>
              <w:left w:val="single" w:sz="4" w:space="0" w:color="auto"/>
              <w:bottom w:val="single" w:sz="4" w:space="0" w:color="auto"/>
              <w:right w:val="nil"/>
            </w:tcBorders>
            <w:vAlign w:val="center"/>
          </w:tcPr>
          <w:p w14:paraId="78DFD265" w14:textId="77777777" w:rsidR="00166ED1" w:rsidRDefault="00166ED1" w:rsidP="00A614AF">
            <w:pPr>
              <w:jc w:val="center"/>
            </w:pPr>
            <w:r w:rsidRPr="25F58879">
              <w:rPr>
                <w:rFonts w:eastAsia="Times New Roman"/>
                <w:color w:val="000000" w:themeColor="text1"/>
                <w:sz w:val="16"/>
                <w:szCs w:val="16"/>
                <w:lang w:val="en-IN"/>
              </w:rPr>
              <w:t>0.</w:t>
            </w:r>
            <w:r>
              <w:rPr>
                <w:rFonts w:eastAsia="Times New Roman"/>
                <w:color w:val="000000" w:themeColor="text1"/>
                <w:sz w:val="16"/>
                <w:szCs w:val="16"/>
                <w:lang w:val="en-IN"/>
              </w:rPr>
              <w:t>88</w:t>
            </w:r>
          </w:p>
        </w:tc>
        <w:tc>
          <w:tcPr>
            <w:tcW w:w="1255" w:type="dxa"/>
            <w:tcBorders>
              <w:left w:val="nil"/>
              <w:bottom w:val="single" w:sz="4" w:space="0" w:color="auto"/>
              <w:right w:val="nil"/>
            </w:tcBorders>
            <w:vAlign w:val="center"/>
          </w:tcPr>
          <w:p w14:paraId="3D975DE9" w14:textId="77777777" w:rsidR="00166ED1" w:rsidRDefault="00166ED1" w:rsidP="00A614AF">
            <w:pPr>
              <w:jc w:val="center"/>
            </w:pPr>
            <w:r w:rsidRPr="25F58879">
              <w:rPr>
                <w:rFonts w:eastAsia="Times New Roman"/>
                <w:color w:val="000000" w:themeColor="text1"/>
                <w:sz w:val="16"/>
                <w:szCs w:val="16"/>
                <w:lang w:val="en-IN"/>
              </w:rPr>
              <w:t>0.</w:t>
            </w:r>
            <w:r>
              <w:rPr>
                <w:rFonts w:eastAsia="Times New Roman"/>
                <w:color w:val="000000" w:themeColor="text1"/>
                <w:sz w:val="16"/>
                <w:szCs w:val="16"/>
                <w:lang w:val="en-IN"/>
              </w:rPr>
              <w:t>88</w:t>
            </w:r>
          </w:p>
        </w:tc>
        <w:tc>
          <w:tcPr>
            <w:tcW w:w="1260" w:type="dxa"/>
            <w:tcBorders>
              <w:top w:val="nil"/>
              <w:left w:val="nil"/>
              <w:bottom w:val="single" w:sz="4" w:space="0" w:color="auto"/>
              <w:right w:val="single" w:sz="4" w:space="0" w:color="auto"/>
            </w:tcBorders>
            <w:vAlign w:val="center"/>
          </w:tcPr>
          <w:p w14:paraId="72FA78CD" w14:textId="77777777" w:rsidR="00166ED1" w:rsidRDefault="00166ED1" w:rsidP="00A614AF">
            <w:pPr>
              <w:jc w:val="center"/>
            </w:pPr>
            <w:r w:rsidRPr="25F58879">
              <w:rPr>
                <w:rFonts w:eastAsia="Times New Roman"/>
                <w:color w:val="000000" w:themeColor="text1"/>
                <w:sz w:val="16"/>
                <w:szCs w:val="16"/>
                <w:lang w:val="en-IN"/>
              </w:rPr>
              <w:t>0.5</w:t>
            </w:r>
            <w:r>
              <w:rPr>
                <w:rFonts w:eastAsia="Times New Roman"/>
                <w:color w:val="000000" w:themeColor="text1"/>
                <w:sz w:val="16"/>
                <w:szCs w:val="16"/>
                <w:lang w:val="en-IN"/>
              </w:rPr>
              <w:t>2</w:t>
            </w:r>
          </w:p>
        </w:tc>
      </w:tr>
    </w:tbl>
    <w:p w14:paraId="2E9C0590" w14:textId="77777777" w:rsidR="00166ED1" w:rsidRDefault="00166ED1" w:rsidP="00166ED1"/>
    <w:p w14:paraId="2FF9F0C8" w14:textId="77777777" w:rsidR="00166ED1" w:rsidRDefault="00166ED1" w:rsidP="25F58879">
      <w:pPr>
        <w:jc w:val="both"/>
      </w:pPr>
    </w:p>
    <w:p w14:paraId="2F0713F3" w14:textId="0909EBDC" w:rsidR="00313CFB" w:rsidRDefault="00BA63AD" w:rsidP="25F58879">
      <w:pPr>
        <w:jc w:val="center"/>
      </w:pPr>
      <w:r>
        <w:rPr>
          <w:noProof/>
        </w:rPr>
        <w:drawing>
          <wp:inline distT="0" distB="0" distL="0" distR="0" wp14:anchorId="5CAA0F44" wp14:editId="601D8E69">
            <wp:extent cx="3195955" cy="896645"/>
            <wp:effectExtent l="0" t="0" r="4445" b="0"/>
            <wp:docPr id="223495189" name="Picture 22349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96732" cy="896863"/>
                    </a:xfrm>
                    <a:prstGeom prst="rect">
                      <a:avLst/>
                    </a:prstGeom>
                  </pic:spPr>
                </pic:pic>
              </a:graphicData>
            </a:graphic>
          </wp:inline>
        </w:drawing>
      </w:r>
    </w:p>
    <w:p w14:paraId="6AB21396" w14:textId="0B8D9BED" w:rsidR="00BA63AD" w:rsidRDefault="7117493C" w:rsidP="25F58879">
      <w:r w:rsidRPr="00BA63AD">
        <w:rPr>
          <w:sz w:val="16"/>
          <w:szCs w:val="16"/>
        </w:rPr>
        <w:t>Fig</w:t>
      </w:r>
      <w:r w:rsidR="00BA63AD" w:rsidRPr="00BA63AD">
        <w:rPr>
          <w:sz w:val="16"/>
          <w:szCs w:val="16"/>
        </w:rPr>
        <w:t>.</w:t>
      </w:r>
      <w:r w:rsidR="00F725B0">
        <w:rPr>
          <w:sz w:val="16"/>
          <w:szCs w:val="16"/>
        </w:rPr>
        <w:t xml:space="preserve"> 2</w:t>
      </w:r>
      <w:r w:rsidR="2500ABB8" w:rsidRPr="00BA63AD">
        <w:rPr>
          <w:sz w:val="16"/>
          <w:szCs w:val="16"/>
        </w:rPr>
        <w:t xml:space="preserve"> Coefficients for Food Insecurity rate in children</w:t>
      </w:r>
    </w:p>
    <w:p w14:paraId="212AB2F3" w14:textId="2AD6DE05" w:rsidR="00BA63AD" w:rsidRDefault="00BA63AD" w:rsidP="25F58879">
      <w:r>
        <w:rPr>
          <w:noProof/>
        </w:rPr>
        <w:drawing>
          <wp:inline distT="0" distB="0" distL="0" distR="0" wp14:anchorId="10102309" wp14:editId="22FC6F66">
            <wp:extent cx="3184525" cy="1020932"/>
            <wp:effectExtent l="0" t="0" r="0" b="8255"/>
            <wp:docPr id="1497224621" name="Picture 149722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09822" cy="1029042"/>
                    </a:xfrm>
                    <a:prstGeom prst="rect">
                      <a:avLst/>
                    </a:prstGeom>
                  </pic:spPr>
                </pic:pic>
              </a:graphicData>
            </a:graphic>
          </wp:inline>
        </w:drawing>
      </w:r>
    </w:p>
    <w:p w14:paraId="3C1456A2" w14:textId="0E511DEE" w:rsidR="25F58879" w:rsidRDefault="00BA63AD" w:rsidP="00BA63AD">
      <w:r w:rsidRPr="00BA63AD">
        <w:rPr>
          <w:sz w:val="16"/>
          <w:szCs w:val="16"/>
        </w:rPr>
        <w:t>Fig.</w:t>
      </w:r>
      <w:r w:rsidR="00F725B0">
        <w:rPr>
          <w:sz w:val="16"/>
          <w:szCs w:val="16"/>
        </w:rPr>
        <w:t xml:space="preserve"> 3</w:t>
      </w:r>
      <w:r w:rsidRPr="00BA63AD">
        <w:rPr>
          <w:sz w:val="16"/>
          <w:szCs w:val="16"/>
        </w:rPr>
        <w:t xml:space="preserve"> Coefficients for Food Insecurity rate in </w:t>
      </w:r>
      <w:r>
        <w:rPr>
          <w:sz w:val="16"/>
          <w:szCs w:val="16"/>
        </w:rPr>
        <w:t>adults</w:t>
      </w:r>
    </w:p>
    <w:p w14:paraId="1D48AAB5" w14:textId="2C707674" w:rsidR="25F58879" w:rsidRDefault="25F58879" w:rsidP="25F58879"/>
    <w:p w14:paraId="05EA33C1" w14:textId="4FA1BA14" w:rsidR="00FC3EAF" w:rsidRDefault="00F82C64" w:rsidP="00DB4FD3">
      <w:pPr>
        <w:pStyle w:val="Heading1"/>
        <w:jc w:val="center"/>
      </w:pPr>
      <w:r>
        <w:t>county</w:t>
      </w:r>
      <w:r w:rsidR="00B1483F">
        <w:t>-</w:t>
      </w:r>
      <w:r>
        <w:t>level results</w:t>
      </w:r>
    </w:p>
    <w:p w14:paraId="3298C587" w14:textId="504AAF2B" w:rsidR="001E1A9E" w:rsidRDefault="00F82C64" w:rsidP="0042410F">
      <w:pPr>
        <w:jc w:val="both"/>
      </w:pPr>
      <w:r>
        <w:t>For this analysis</w:t>
      </w:r>
      <w:r w:rsidR="00B1483F">
        <w:t>,</w:t>
      </w:r>
      <w:r>
        <w:t xml:space="preserve"> we con</w:t>
      </w:r>
      <w:r w:rsidR="000E3BFE">
        <w:t xml:space="preserve">sidered a dataset of only adults for all the counties in </w:t>
      </w:r>
      <w:r w:rsidR="00B1483F">
        <w:t xml:space="preserve">the </w:t>
      </w:r>
      <w:r w:rsidR="000E3BFE">
        <w:t>United States and data is 4</w:t>
      </w:r>
      <w:r w:rsidR="00B1483F">
        <w:t>-</w:t>
      </w:r>
      <w:r w:rsidR="000E3BFE">
        <w:t>year data from 2014 to 2018. In</w:t>
      </w:r>
      <w:r w:rsidR="00B1483F">
        <w:t>i</w:t>
      </w:r>
      <w:r w:rsidR="000E3BFE">
        <w:t>tially</w:t>
      </w:r>
      <w:r w:rsidR="00B1483F">
        <w:t>,</w:t>
      </w:r>
      <w:r w:rsidR="000E3BFE">
        <w:t xml:space="preserve"> we ran a multiple linear regression model and calculated the p-values to get the important variables but our analysis showed all the health metrics as important. To get the important variables </w:t>
      </w:r>
      <w:r w:rsidR="0042410F">
        <w:t>we took the variable with shap values gr</w:t>
      </w:r>
      <w:r w:rsidR="00B1483F">
        <w:t>e</w:t>
      </w:r>
      <w:r w:rsidR="0042410F">
        <w:t>ater than 0.</w:t>
      </w:r>
      <w:r w:rsidR="00597846">
        <w:t>00</w:t>
      </w:r>
      <w:r w:rsidR="0042410F">
        <w:t>4 as can be seen in Fig</w:t>
      </w:r>
      <w:r w:rsidR="001E1A9E">
        <w:t xml:space="preserve"> </w:t>
      </w:r>
      <w:r w:rsidR="00F725B0">
        <w:t>4.</w:t>
      </w:r>
      <w:r w:rsidR="001E1A9E">
        <w:t xml:space="preserve"> marked in the red box</w:t>
      </w:r>
      <w:r w:rsidR="0042410F">
        <w:t xml:space="preserve">. Once we fixed the health metrics we ran </w:t>
      </w:r>
      <w:r w:rsidR="003A5B30">
        <w:t>M</w:t>
      </w:r>
      <w:r w:rsidR="0042410F">
        <w:t xml:space="preserve">ultiple </w:t>
      </w:r>
      <w:r w:rsidR="003A5B30">
        <w:t>L</w:t>
      </w:r>
      <w:r w:rsidR="0042410F">
        <w:t xml:space="preserve">inear </w:t>
      </w:r>
      <w:r w:rsidR="003A5B30">
        <w:t>R</w:t>
      </w:r>
      <w:r w:rsidR="0042410F">
        <w:t>egression</w:t>
      </w:r>
      <w:r w:rsidR="003A5B30">
        <w:t xml:space="preserve"> (MLR)</w:t>
      </w:r>
      <w:r w:rsidR="0042410F">
        <w:t xml:space="preserve"> and Random </w:t>
      </w:r>
      <w:r w:rsidR="003A5B30">
        <w:t>F</w:t>
      </w:r>
      <w:r w:rsidR="0042410F">
        <w:t xml:space="preserve">orest </w:t>
      </w:r>
      <w:r w:rsidR="003A5B30">
        <w:t>R</w:t>
      </w:r>
      <w:r w:rsidR="0042410F">
        <w:t>egressor</w:t>
      </w:r>
      <w:r w:rsidR="003A5B30">
        <w:t xml:space="preserve"> (RFR)</w:t>
      </w:r>
      <w:r w:rsidR="0042410F">
        <w:t xml:space="preserve"> using </w:t>
      </w:r>
      <w:r w:rsidR="00B1483F">
        <w:t xml:space="preserve">the </w:t>
      </w:r>
      <w:r w:rsidR="0042410F">
        <w:t xml:space="preserve">sklearn library to predict the food insecurity rate in each county. The </w:t>
      </w:r>
      <w:r w:rsidR="001E1A9E">
        <w:t xml:space="preserve">Table IV. </w:t>
      </w:r>
      <w:r w:rsidR="0042410F">
        <w:t>shows the different root mean sq</w:t>
      </w:r>
      <w:r w:rsidR="00B1483F">
        <w:t>ua</w:t>
      </w:r>
      <w:r w:rsidR="0042410F">
        <w:t>re values and adjusted R-sq</w:t>
      </w:r>
      <w:r w:rsidR="00B1483F">
        <w:t>ua</w:t>
      </w:r>
      <w:r w:rsidR="0042410F">
        <w:t>red for the two algorithms. Addit</w:t>
      </w:r>
      <w:r w:rsidR="00B1483F">
        <w:t>ional</w:t>
      </w:r>
      <w:r w:rsidR="0042410F">
        <w:t>ly</w:t>
      </w:r>
      <w:r w:rsidR="00B1483F">
        <w:t>,</w:t>
      </w:r>
      <w:r w:rsidR="0042410F">
        <w:t xml:space="preserve"> we suspected a geographical factor in predicting food insecurity</w:t>
      </w:r>
      <w:r w:rsidR="00B1483F">
        <w:t>,</w:t>
      </w:r>
      <w:r w:rsidR="0042410F">
        <w:t xml:space="preserve"> and hence adding state or county dat</w:t>
      </w:r>
      <w:r w:rsidR="00B1483F">
        <w:t>a</w:t>
      </w:r>
      <w:r w:rsidR="0042410F">
        <w:t xml:space="preserve"> improves the result. We get a minimum </w:t>
      </w:r>
      <w:r w:rsidR="00B1483F">
        <w:t xml:space="preserve">RMSE </w:t>
      </w:r>
      <w:r w:rsidR="0042410F">
        <w:t>of 0.015 when we use MLR on the dat</w:t>
      </w:r>
      <w:r w:rsidR="00B1483F">
        <w:t>a</w:t>
      </w:r>
      <w:r w:rsidR="0042410F">
        <w:t xml:space="preserve"> which has the county variable. This concludes that geography and health parameters influence food insecurity. Though RF</w:t>
      </w:r>
      <w:r w:rsidR="003A5B30">
        <w:t>R</w:t>
      </w:r>
      <w:r w:rsidR="0042410F">
        <w:t xml:space="preserve"> gives a better R-squared </w:t>
      </w:r>
      <w:r w:rsidR="00B1483F">
        <w:t xml:space="preserve">we chose MLR </w:t>
      </w:r>
      <w:r w:rsidR="0042410F">
        <w:t xml:space="preserve">due to the lower </w:t>
      </w:r>
      <w:r w:rsidR="00B1483F">
        <w:t xml:space="preserve">RMSE </w:t>
      </w:r>
      <w:r w:rsidR="0042410F">
        <w:t>and has higher interp</w:t>
      </w:r>
      <w:r w:rsidR="00B1483F">
        <w:t>reta</w:t>
      </w:r>
      <w:r w:rsidR="0042410F">
        <w:t xml:space="preserve">bility. </w:t>
      </w:r>
    </w:p>
    <w:p w14:paraId="5E5AB797" w14:textId="77777777" w:rsidR="001E1A9E" w:rsidRDefault="001E1A9E" w:rsidP="0042410F">
      <w:pPr>
        <w:jc w:val="both"/>
      </w:pPr>
    </w:p>
    <w:p w14:paraId="546AB310" w14:textId="5942038E" w:rsidR="00F82C64" w:rsidRDefault="001E1A9E" w:rsidP="0042410F">
      <w:pPr>
        <w:jc w:val="both"/>
      </w:pPr>
      <w:r>
        <w:rPr>
          <w:noProof/>
        </w:rPr>
        <w:drawing>
          <wp:inline distT="0" distB="0" distL="0" distR="0" wp14:anchorId="5148489B" wp14:editId="21506A43">
            <wp:extent cx="3191510" cy="23220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625" cy="2325089"/>
                    </a:xfrm>
                    <a:prstGeom prst="rect">
                      <a:avLst/>
                    </a:prstGeom>
                    <a:noFill/>
                    <a:ln>
                      <a:noFill/>
                    </a:ln>
                  </pic:spPr>
                </pic:pic>
              </a:graphicData>
            </a:graphic>
          </wp:inline>
        </w:drawing>
      </w:r>
    </w:p>
    <w:p w14:paraId="548F4769" w14:textId="51F8C92D" w:rsidR="001E1A9E" w:rsidRPr="00CF246D" w:rsidRDefault="001E1A9E" w:rsidP="0042410F">
      <w:pPr>
        <w:jc w:val="both"/>
        <w:rPr>
          <w:sz w:val="16"/>
          <w:szCs w:val="16"/>
        </w:rPr>
      </w:pPr>
      <w:r w:rsidRPr="00CF246D">
        <w:rPr>
          <w:sz w:val="16"/>
          <w:szCs w:val="16"/>
        </w:rPr>
        <w:t xml:space="preserve">Fig </w:t>
      </w:r>
      <w:r w:rsidR="00F725B0" w:rsidRPr="00CF246D">
        <w:rPr>
          <w:sz w:val="16"/>
          <w:szCs w:val="16"/>
        </w:rPr>
        <w:t>4</w:t>
      </w:r>
      <w:r w:rsidRPr="00CF246D">
        <w:rPr>
          <w:sz w:val="16"/>
          <w:szCs w:val="16"/>
        </w:rPr>
        <w:t>. Shap values of health variables</w:t>
      </w:r>
    </w:p>
    <w:p w14:paraId="7A19A1D7" w14:textId="4462A9EB" w:rsidR="00166ED1" w:rsidRPr="00CF246D" w:rsidRDefault="00166ED1" w:rsidP="0042410F">
      <w:pPr>
        <w:jc w:val="both"/>
        <w:rPr>
          <w:sz w:val="16"/>
          <w:szCs w:val="16"/>
        </w:rPr>
      </w:pPr>
    </w:p>
    <w:p w14:paraId="181D7D1B" w14:textId="3E553B64" w:rsidR="00166ED1" w:rsidRDefault="00166ED1" w:rsidP="0042410F">
      <w:pPr>
        <w:jc w:val="both"/>
      </w:pPr>
    </w:p>
    <w:p w14:paraId="66D44936" w14:textId="77777777" w:rsidR="00166ED1" w:rsidRDefault="00166ED1" w:rsidP="0042410F">
      <w:pPr>
        <w:jc w:val="both"/>
      </w:pPr>
    </w:p>
    <w:p w14:paraId="277F2E19" w14:textId="615AEE55" w:rsidR="001E1A9E" w:rsidRPr="001E1A9E" w:rsidRDefault="001E1A9E" w:rsidP="0042410F">
      <w:pPr>
        <w:jc w:val="both"/>
        <w:rPr>
          <w:sz w:val="16"/>
          <w:szCs w:val="16"/>
        </w:rPr>
      </w:pPr>
    </w:p>
    <w:p w14:paraId="7876272B" w14:textId="64D3AC1E" w:rsidR="001E1A9E" w:rsidRPr="001E1A9E" w:rsidRDefault="001E1A9E" w:rsidP="0042410F">
      <w:pPr>
        <w:jc w:val="both"/>
        <w:rPr>
          <w:sz w:val="16"/>
          <w:szCs w:val="16"/>
        </w:rPr>
      </w:pPr>
      <w:r w:rsidRPr="001E1A9E">
        <w:rPr>
          <w:sz w:val="16"/>
          <w:szCs w:val="16"/>
        </w:rPr>
        <w:t>Table IV</w:t>
      </w:r>
    </w:p>
    <w:p w14:paraId="277EE706" w14:textId="56A2E239" w:rsidR="001E1A9E" w:rsidRDefault="001E1A9E" w:rsidP="0042410F">
      <w:pPr>
        <w:jc w:val="both"/>
        <w:rPr>
          <w:sz w:val="16"/>
          <w:szCs w:val="16"/>
        </w:rPr>
      </w:pPr>
      <w:r w:rsidRPr="001E1A9E">
        <w:rPr>
          <w:sz w:val="16"/>
          <w:szCs w:val="16"/>
        </w:rPr>
        <w:t>Results on county level data using regression</w:t>
      </w:r>
    </w:p>
    <w:tbl>
      <w:tblPr>
        <w:tblW w:w="5211" w:type="pct"/>
        <w:tblLayout w:type="fixed"/>
        <w:tblLook w:val="04A0" w:firstRow="1" w:lastRow="0" w:firstColumn="1" w:lastColumn="0" w:noHBand="0" w:noVBand="1"/>
      </w:tblPr>
      <w:tblGrid>
        <w:gridCol w:w="642"/>
        <w:gridCol w:w="753"/>
        <w:gridCol w:w="670"/>
        <w:gridCol w:w="771"/>
        <w:gridCol w:w="757"/>
        <w:gridCol w:w="670"/>
        <w:gridCol w:w="982"/>
      </w:tblGrid>
      <w:tr w:rsidR="001E1A9E" w:rsidRPr="001E1A9E" w14:paraId="3D27CDEC" w14:textId="77777777" w:rsidTr="001E1A9E">
        <w:trPr>
          <w:trHeight w:val="292"/>
        </w:trPr>
        <w:tc>
          <w:tcPr>
            <w:tcW w:w="611" w:type="pct"/>
            <w:tcBorders>
              <w:top w:val="single" w:sz="4" w:space="0" w:color="auto"/>
              <w:left w:val="nil"/>
              <w:bottom w:val="nil"/>
              <w:right w:val="nil"/>
            </w:tcBorders>
            <w:shd w:val="clear" w:color="auto" w:fill="auto"/>
            <w:noWrap/>
            <w:vAlign w:val="center"/>
            <w:hideMark/>
          </w:tcPr>
          <w:p w14:paraId="768F0A99"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 </w:t>
            </w:r>
          </w:p>
        </w:tc>
        <w:tc>
          <w:tcPr>
            <w:tcW w:w="2092"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689674CF"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MLR</w:t>
            </w:r>
          </w:p>
        </w:tc>
        <w:tc>
          <w:tcPr>
            <w:tcW w:w="2297" w:type="pct"/>
            <w:gridSpan w:val="3"/>
            <w:tcBorders>
              <w:top w:val="single" w:sz="4" w:space="0" w:color="auto"/>
              <w:left w:val="nil"/>
              <w:bottom w:val="single" w:sz="4" w:space="0" w:color="auto"/>
              <w:right w:val="nil"/>
            </w:tcBorders>
            <w:shd w:val="clear" w:color="auto" w:fill="auto"/>
            <w:noWrap/>
            <w:vAlign w:val="center"/>
            <w:hideMark/>
          </w:tcPr>
          <w:p w14:paraId="6F0C1252"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RFR</w:t>
            </w:r>
          </w:p>
        </w:tc>
      </w:tr>
      <w:tr w:rsidR="001E1A9E" w:rsidRPr="001E1A9E" w14:paraId="5BA1C2A0" w14:textId="77777777" w:rsidTr="001E1A9E">
        <w:trPr>
          <w:trHeight w:val="292"/>
        </w:trPr>
        <w:tc>
          <w:tcPr>
            <w:tcW w:w="611" w:type="pct"/>
            <w:tcBorders>
              <w:top w:val="nil"/>
              <w:left w:val="nil"/>
              <w:bottom w:val="single" w:sz="4" w:space="0" w:color="auto"/>
              <w:right w:val="nil"/>
            </w:tcBorders>
            <w:shd w:val="clear" w:color="auto" w:fill="auto"/>
            <w:noWrap/>
            <w:vAlign w:val="center"/>
            <w:hideMark/>
          </w:tcPr>
          <w:p w14:paraId="3B13B392"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 </w:t>
            </w:r>
          </w:p>
        </w:tc>
        <w:tc>
          <w:tcPr>
            <w:tcW w:w="718" w:type="pct"/>
            <w:tcBorders>
              <w:top w:val="nil"/>
              <w:left w:val="nil"/>
              <w:bottom w:val="single" w:sz="4" w:space="0" w:color="auto"/>
              <w:right w:val="nil"/>
            </w:tcBorders>
            <w:shd w:val="clear" w:color="auto" w:fill="auto"/>
            <w:noWrap/>
            <w:vAlign w:val="center"/>
            <w:hideMark/>
          </w:tcPr>
          <w:p w14:paraId="7DDCC3E6"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Health data</w:t>
            </w:r>
          </w:p>
        </w:tc>
        <w:tc>
          <w:tcPr>
            <w:tcW w:w="639" w:type="pct"/>
            <w:tcBorders>
              <w:top w:val="nil"/>
              <w:left w:val="nil"/>
              <w:bottom w:val="single" w:sz="4" w:space="0" w:color="auto"/>
              <w:right w:val="nil"/>
            </w:tcBorders>
            <w:shd w:val="clear" w:color="auto" w:fill="auto"/>
            <w:noWrap/>
            <w:vAlign w:val="center"/>
            <w:hideMark/>
          </w:tcPr>
          <w:p w14:paraId="195442EC"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with state</w:t>
            </w:r>
          </w:p>
        </w:tc>
        <w:tc>
          <w:tcPr>
            <w:tcW w:w="735" w:type="pct"/>
            <w:tcBorders>
              <w:top w:val="nil"/>
              <w:left w:val="nil"/>
              <w:bottom w:val="single" w:sz="4" w:space="0" w:color="auto"/>
              <w:right w:val="single" w:sz="4" w:space="0" w:color="auto"/>
            </w:tcBorders>
            <w:shd w:val="clear" w:color="auto" w:fill="auto"/>
            <w:noWrap/>
            <w:vAlign w:val="center"/>
            <w:hideMark/>
          </w:tcPr>
          <w:p w14:paraId="50980EA8"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with county</w:t>
            </w:r>
          </w:p>
        </w:tc>
        <w:tc>
          <w:tcPr>
            <w:tcW w:w="722" w:type="pct"/>
            <w:tcBorders>
              <w:top w:val="nil"/>
              <w:left w:val="nil"/>
              <w:bottom w:val="single" w:sz="4" w:space="0" w:color="auto"/>
              <w:right w:val="nil"/>
            </w:tcBorders>
            <w:shd w:val="clear" w:color="auto" w:fill="auto"/>
            <w:noWrap/>
            <w:vAlign w:val="center"/>
            <w:hideMark/>
          </w:tcPr>
          <w:p w14:paraId="74772256"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Health data</w:t>
            </w:r>
          </w:p>
        </w:tc>
        <w:tc>
          <w:tcPr>
            <w:tcW w:w="639" w:type="pct"/>
            <w:tcBorders>
              <w:top w:val="nil"/>
              <w:left w:val="nil"/>
              <w:bottom w:val="single" w:sz="4" w:space="0" w:color="auto"/>
              <w:right w:val="nil"/>
            </w:tcBorders>
            <w:shd w:val="clear" w:color="auto" w:fill="auto"/>
            <w:noWrap/>
            <w:vAlign w:val="center"/>
            <w:hideMark/>
          </w:tcPr>
          <w:p w14:paraId="196D3F3F"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with state</w:t>
            </w:r>
          </w:p>
        </w:tc>
        <w:tc>
          <w:tcPr>
            <w:tcW w:w="937" w:type="pct"/>
            <w:tcBorders>
              <w:top w:val="nil"/>
              <w:left w:val="nil"/>
              <w:bottom w:val="single" w:sz="4" w:space="0" w:color="auto"/>
              <w:right w:val="nil"/>
            </w:tcBorders>
            <w:shd w:val="clear" w:color="auto" w:fill="auto"/>
            <w:noWrap/>
            <w:vAlign w:val="center"/>
            <w:hideMark/>
          </w:tcPr>
          <w:p w14:paraId="0F200D0F"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with county</w:t>
            </w:r>
          </w:p>
        </w:tc>
      </w:tr>
      <w:tr w:rsidR="001E1A9E" w:rsidRPr="001E1A9E" w14:paraId="3467431C" w14:textId="77777777" w:rsidTr="001E1A9E">
        <w:trPr>
          <w:trHeight w:val="292"/>
        </w:trPr>
        <w:tc>
          <w:tcPr>
            <w:tcW w:w="611" w:type="pct"/>
            <w:tcBorders>
              <w:top w:val="nil"/>
              <w:left w:val="nil"/>
              <w:bottom w:val="nil"/>
              <w:right w:val="nil"/>
            </w:tcBorders>
            <w:shd w:val="clear" w:color="auto" w:fill="auto"/>
            <w:noWrap/>
            <w:vAlign w:val="center"/>
            <w:hideMark/>
          </w:tcPr>
          <w:p w14:paraId="67B46D95" w14:textId="77777777" w:rsidR="001E1A9E" w:rsidRPr="001E1A9E" w:rsidRDefault="001E1A9E" w:rsidP="001E1A9E">
            <w:pPr>
              <w:jc w:val="center"/>
              <w:rPr>
                <w:rFonts w:eastAsia="Times New Roman"/>
                <w:color w:val="000000"/>
                <w:sz w:val="14"/>
                <w:szCs w:val="14"/>
                <w:lang w:val="en-IN" w:eastAsia="en-IN"/>
              </w:rPr>
            </w:pPr>
            <w:r w:rsidRPr="001E1A9E">
              <w:rPr>
                <w:rFonts w:eastAsia="Times New Roman"/>
                <w:color w:val="000000"/>
                <w:sz w:val="14"/>
                <w:szCs w:val="14"/>
                <w:lang w:val="en-IN" w:eastAsia="en-IN"/>
              </w:rPr>
              <w:t>RMSE</w:t>
            </w:r>
          </w:p>
        </w:tc>
        <w:tc>
          <w:tcPr>
            <w:tcW w:w="718" w:type="pct"/>
            <w:tcBorders>
              <w:top w:val="nil"/>
              <w:left w:val="single" w:sz="4" w:space="0" w:color="auto"/>
              <w:bottom w:val="nil"/>
              <w:right w:val="nil"/>
            </w:tcBorders>
            <w:shd w:val="clear" w:color="auto" w:fill="auto"/>
            <w:noWrap/>
            <w:vAlign w:val="center"/>
            <w:hideMark/>
          </w:tcPr>
          <w:p w14:paraId="0FDCD7D4"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0.0365</w:t>
            </w:r>
          </w:p>
        </w:tc>
        <w:tc>
          <w:tcPr>
            <w:tcW w:w="639" w:type="pct"/>
            <w:tcBorders>
              <w:top w:val="nil"/>
              <w:left w:val="nil"/>
              <w:bottom w:val="nil"/>
              <w:right w:val="nil"/>
            </w:tcBorders>
            <w:shd w:val="clear" w:color="auto" w:fill="auto"/>
            <w:noWrap/>
            <w:vAlign w:val="center"/>
            <w:hideMark/>
          </w:tcPr>
          <w:p w14:paraId="2650ACAB"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0.0305</w:t>
            </w:r>
          </w:p>
        </w:tc>
        <w:tc>
          <w:tcPr>
            <w:tcW w:w="735" w:type="pct"/>
            <w:tcBorders>
              <w:top w:val="nil"/>
              <w:left w:val="nil"/>
              <w:bottom w:val="nil"/>
              <w:right w:val="single" w:sz="4" w:space="0" w:color="auto"/>
            </w:tcBorders>
            <w:shd w:val="clear" w:color="auto" w:fill="auto"/>
            <w:noWrap/>
            <w:vAlign w:val="center"/>
            <w:hideMark/>
          </w:tcPr>
          <w:p w14:paraId="7FFCEEFD"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0.015</w:t>
            </w:r>
          </w:p>
        </w:tc>
        <w:tc>
          <w:tcPr>
            <w:tcW w:w="722" w:type="pct"/>
            <w:tcBorders>
              <w:top w:val="nil"/>
              <w:left w:val="nil"/>
              <w:bottom w:val="nil"/>
              <w:right w:val="nil"/>
            </w:tcBorders>
            <w:shd w:val="clear" w:color="auto" w:fill="auto"/>
            <w:noWrap/>
            <w:vAlign w:val="center"/>
            <w:hideMark/>
          </w:tcPr>
          <w:p w14:paraId="25695C11"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0.0328</w:t>
            </w:r>
          </w:p>
        </w:tc>
        <w:tc>
          <w:tcPr>
            <w:tcW w:w="639" w:type="pct"/>
            <w:tcBorders>
              <w:top w:val="nil"/>
              <w:left w:val="nil"/>
              <w:bottom w:val="nil"/>
              <w:right w:val="nil"/>
            </w:tcBorders>
            <w:shd w:val="clear" w:color="auto" w:fill="auto"/>
            <w:noWrap/>
            <w:vAlign w:val="center"/>
            <w:hideMark/>
          </w:tcPr>
          <w:p w14:paraId="55FDD144"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0.025</w:t>
            </w:r>
          </w:p>
        </w:tc>
        <w:tc>
          <w:tcPr>
            <w:tcW w:w="937" w:type="pct"/>
            <w:tcBorders>
              <w:top w:val="nil"/>
              <w:left w:val="nil"/>
              <w:bottom w:val="nil"/>
              <w:right w:val="nil"/>
            </w:tcBorders>
            <w:shd w:val="clear" w:color="auto" w:fill="auto"/>
            <w:noWrap/>
            <w:vAlign w:val="center"/>
            <w:hideMark/>
          </w:tcPr>
          <w:p w14:paraId="0551F66C"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0.029</w:t>
            </w:r>
          </w:p>
        </w:tc>
      </w:tr>
      <w:tr w:rsidR="001E1A9E" w:rsidRPr="001E1A9E" w14:paraId="5EDD0352" w14:textId="77777777" w:rsidTr="001E1A9E">
        <w:trPr>
          <w:trHeight w:val="292"/>
        </w:trPr>
        <w:tc>
          <w:tcPr>
            <w:tcW w:w="611" w:type="pct"/>
            <w:tcBorders>
              <w:top w:val="nil"/>
              <w:left w:val="nil"/>
              <w:bottom w:val="single" w:sz="4" w:space="0" w:color="auto"/>
              <w:right w:val="nil"/>
            </w:tcBorders>
            <w:shd w:val="clear" w:color="auto" w:fill="auto"/>
            <w:noWrap/>
            <w:vAlign w:val="center"/>
            <w:hideMark/>
          </w:tcPr>
          <w:p w14:paraId="788653A6" w14:textId="545C1EBE" w:rsidR="001E1A9E" w:rsidRPr="001E1A9E" w:rsidRDefault="001E1A9E" w:rsidP="001E1A9E">
            <w:pPr>
              <w:jc w:val="center"/>
              <w:rPr>
                <w:rFonts w:eastAsia="Times New Roman"/>
                <w:color w:val="000000"/>
                <w:sz w:val="14"/>
                <w:szCs w:val="14"/>
                <w:lang w:val="en-IN" w:eastAsia="en-IN"/>
              </w:rPr>
            </w:pPr>
            <w:r w:rsidRPr="001E1A9E">
              <w:rPr>
                <w:rFonts w:eastAsia="Times New Roman"/>
                <w:color w:val="000000"/>
                <w:sz w:val="14"/>
                <w:szCs w:val="14"/>
                <w:lang w:val="en-IN" w:eastAsia="en-IN"/>
              </w:rPr>
              <w:t>R</w:t>
            </w:r>
            <w:r>
              <w:rPr>
                <w:rFonts w:eastAsia="Times New Roman"/>
                <w:color w:val="000000"/>
                <w:sz w:val="14"/>
                <w:szCs w:val="14"/>
                <w:lang w:val="en-IN" w:eastAsia="en-IN"/>
              </w:rPr>
              <w:t>-</w:t>
            </w:r>
            <w:r w:rsidRPr="001E1A9E">
              <w:rPr>
                <w:rFonts w:eastAsia="Times New Roman"/>
                <w:color w:val="000000"/>
                <w:sz w:val="14"/>
                <w:szCs w:val="14"/>
                <w:lang w:val="en-IN" w:eastAsia="en-IN"/>
              </w:rPr>
              <w:t>square</w:t>
            </w:r>
            <w:r>
              <w:rPr>
                <w:rFonts w:eastAsia="Times New Roman"/>
                <w:color w:val="000000"/>
                <w:sz w:val="14"/>
                <w:szCs w:val="14"/>
                <w:lang w:val="en-IN" w:eastAsia="en-IN"/>
              </w:rPr>
              <w:t>d</w:t>
            </w:r>
          </w:p>
        </w:tc>
        <w:tc>
          <w:tcPr>
            <w:tcW w:w="718" w:type="pct"/>
            <w:tcBorders>
              <w:top w:val="nil"/>
              <w:left w:val="single" w:sz="4" w:space="0" w:color="auto"/>
              <w:bottom w:val="single" w:sz="4" w:space="0" w:color="auto"/>
              <w:right w:val="nil"/>
            </w:tcBorders>
            <w:shd w:val="clear" w:color="auto" w:fill="auto"/>
            <w:noWrap/>
            <w:vAlign w:val="center"/>
            <w:hideMark/>
          </w:tcPr>
          <w:p w14:paraId="5443F646"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0.227</w:t>
            </w:r>
          </w:p>
        </w:tc>
        <w:tc>
          <w:tcPr>
            <w:tcW w:w="639" w:type="pct"/>
            <w:tcBorders>
              <w:top w:val="nil"/>
              <w:left w:val="nil"/>
              <w:bottom w:val="single" w:sz="4" w:space="0" w:color="auto"/>
              <w:right w:val="nil"/>
            </w:tcBorders>
            <w:shd w:val="clear" w:color="auto" w:fill="auto"/>
            <w:noWrap/>
            <w:vAlign w:val="center"/>
            <w:hideMark/>
          </w:tcPr>
          <w:p w14:paraId="4E4BB5B8"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0.47</w:t>
            </w:r>
          </w:p>
        </w:tc>
        <w:tc>
          <w:tcPr>
            <w:tcW w:w="735" w:type="pct"/>
            <w:tcBorders>
              <w:top w:val="nil"/>
              <w:left w:val="nil"/>
              <w:bottom w:val="single" w:sz="4" w:space="0" w:color="auto"/>
              <w:right w:val="single" w:sz="4" w:space="0" w:color="auto"/>
            </w:tcBorders>
            <w:shd w:val="clear" w:color="auto" w:fill="auto"/>
            <w:noWrap/>
            <w:vAlign w:val="center"/>
            <w:hideMark/>
          </w:tcPr>
          <w:p w14:paraId="498728F6"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0.927</w:t>
            </w:r>
          </w:p>
        </w:tc>
        <w:tc>
          <w:tcPr>
            <w:tcW w:w="722" w:type="pct"/>
            <w:tcBorders>
              <w:top w:val="nil"/>
              <w:left w:val="nil"/>
              <w:bottom w:val="single" w:sz="4" w:space="0" w:color="auto"/>
              <w:right w:val="nil"/>
            </w:tcBorders>
            <w:shd w:val="clear" w:color="auto" w:fill="auto"/>
            <w:noWrap/>
            <w:vAlign w:val="center"/>
            <w:hideMark/>
          </w:tcPr>
          <w:p w14:paraId="613B4C64"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0.91</w:t>
            </w:r>
          </w:p>
        </w:tc>
        <w:tc>
          <w:tcPr>
            <w:tcW w:w="639" w:type="pct"/>
            <w:tcBorders>
              <w:top w:val="nil"/>
              <w:left w:val="nil"/>
              <w:bottom w:val="single" w:sz="4" w:space="0" w:color="auto"/>
              <w:right w:val="nil"/>
            </w:tcBorders>
            <w:shd w:val="clear" w:color="auto" w:fill="auto"/>
            <w:noWrap/>
            <w:vAlign w:val="center"/>
            <w:hideMark/>
          </w:tcPr>
          <w:p w14:paraId="3AEE8F2A"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0.94</w:t>
            </w:r>
          </w:p>
        </w:tc>
        <w:tc>
          <w:tcPr>
            <w:tcW w:w="937" w:type="pct"/>
            <w:tcBorders>
              <w:top w:val="nil"/>
              <w:left w:val="nil"/>
              <w:bottom w:val="single" w:sz="4" w:space="0" w:color="auto"/>
              <w:right w:val="nil"/>
            </w:tcBorders>
            <w:shd w:val="clear" w:color="auto" w:fill="auto"/>
            <w:noWrap/>
            <w:vAlign w:val="center"/>
            <w:hideMark/>
          </w:tcPr>
          <w:p w14:paraId="6CF71B3E" w14:textId="77777777" w:rsidR="001E1A9E" w:rsidRPr="001E1A9E" w:rsidRDefault="001E1A9E" w:rsidP="001E1A9E">
            <w:pPr>
              <w:jc w:val="center"/>
              <w:rPr>
                <w:rFonts w:eastAsia="Times New Roman"/>
                <w:color w:val="000000"/>
                <w:sz w:val="16"/>
                <w:szCs w:val="16"/>
                <w:lang w:val="en-IN" w:eastAsia="en-IN"/>
              </w:rPr>
            </w:pPr>
            <w:r w:rsidRPr="001E1A9E">
              <w:rPr>
                <w:rFonts w:eastAsia="Times New Roman"/>
                <w:color w:val="000000"/>
                <w:sz w:val="16"/>
                <w:szCs w:val="16"/>
                <w:lang w:val="en-IN" w:eastAsia="en-IN"/>
              </w:rPr>
              <w:t>0.93</w:t>
            </w:r>
          </w:p>
        </w:tc>
      </w:tr>
    </w:tbl>
    <w:p w14:paraId="41CD7C26" w14:textId="77777777" w:rsidR="001E1A9E" w:rsidRPr="001E1A9E" w:rsidRDefault="001E1A9E" w:rsidP="0042410F">
      <w:pPr>
        <w:jc w:val="both"/>
        <w:rPr>
          <w:sz w:val="16"/>
          <w:szCs w:val="16"/>
        </w:rPr>
      </w:pPr>
    </w:p>
    <w:p w14:paraId="303221E5" w14:textId="0E4B11DB" w:rsidR="0042410F" w:rsidRDefault="0042410F" w:rsidP="0042410F">
      <w:pPr>
        <w:jc w:val="both"/>
      </w:pPr>
    </w:p>
    <w:p w14:paraId="6E493E0B" w14:textId="5CC2C4CA" w:rsidR="00313CFB" w:rsidRDefault="0042410F" w:rsidP="002B6543">
      <w:pPr>
        <w:jc w:val="both"/>
      </w:pPr>
      <w:r>
        <w:t>For the second a</w:t>
      </w:r>
      <w:r w:rsidR="00B1483F">
        <w:t>p</w:t>
      </w:r>
      <w:r>
        <w:t xml:space="preserve">proach as discussed in the methodology section Logistic </w:t>
      </w:r>
      <w:r w:rsidR="003A5B30">
        <w:t>R</w:t>
      </w:r>
      <w:r>
        <w:t xml:space="preserve">egression </w:t>
      </w:r>
      <w:r w:rsidR="003A5B30">
        <w:t xml:space="preserve">(LR) </w:t>
      </w:r>
      <w:r>
        <w:t xml:space="preserve">and </w:t>
      </w:r>
      <w:r w:rsidR="003A5B30">
        <w:t>R</w:t>
      </w:r>
      <w:r w:rsidR="002B6543">
        <w:t xml:space="preserve">andom </w:t>
      </w:r>
      <w:r w:rsidR="003A5B30">
        <w:t>F</w:t>
      </w:r>
      <w:r w:rsidR="002B6543">
        <w:t xml:space="preserve">orest </w:t>
      </w:r>
      <w:r w:rsidR="003A5B30">
        <w:t>C</w:t>
      </w:r>
      <w:r w:rsidR="002B6543">
        <w:t xml:space="preserve">lassification </w:t>
      </w:r>
      <w:r w:rsidR="003A5B30">
        <w:t xml:space="preserve">(RFC) </w:t>
      </w:r>
      <w:r w:rsidR="002B6543">
        <w:t>ha</w:t>
      </w:r>
      <w:r w:rsidR="00B1483F">
        <w:t>ve</w:t>
      </w:r>
      <w:r w:rsidR="002B6543">
        <w:t xml:space="preserve"> been used. Table</w:t>
      </w:r>
      <w:r w:rsidR="003A5B30">
        <w:t xml:space="preserve"> V. and Fig </w:t>
      </w:r>
      <w:r w:rsidR="00CF246D">
        <w:t>5</w:t>
      </w:r>
      <w:r w:rsidR="003A5B30">
        <w:t>.</w:t>
      </w:r>
      <w:r w:rsidR="002B6543">
        <w:t xml:space="preserve"> show the </w:t>
      </w:r>
      <w:r w:rsidR="003A5B30">
        <w:t xml:space="preserve">classification accuracy and </w:t>
      </w:r>
      <w:r w:rsidR="002B6543">
        <w:t>here too logistic regression outperforms RFC and has h</w:t>
      </w:r>
      <w:r w:rsidR="003A5B30">
        <w:t>i</w:t>
      </w:r>
      <w:r w:rsidR="002B6543">
        <w:t>gher interpretability. Additionally</w:t>
      </w:r>
      <w:r w:rsidR="00B1483F">
        <w:t>,</w:t>
      </w:r>
      <w:r w:rsidR="002B6543">
        <w:t xml:space="preserve"> if we include the train data we get a 90% overall accuracy which can be useful to classify counties at a br</w:t>
      </w:r>
      <w:r w:rsidR="00B1483F">
        <w:t>oa</w:t>
      </w:r>
      <w:r w:rsidR="002B6543">
        <w:t>der level and help in making robust polic</w:t>
      </w:r>
      <w:r w:rsidR="00B1483F">
        <w:t>ies</w:t>
      </w:r>
      <w:r w:rsidR="002B6543">
        <w:t xml:space="preserve"> targeting regions and diseases. To fu</w:t>
      </w:r>
      <w:r w:rsidR="00B1483F">
        <w:t>r</w:t>
      </w:r>
      <w:r w:rsidR="002B6543">
        <w:t>ther explore this we mapped the correlation of diseases with food insecurity at the county level for 5 states with high population</w:t>
      </w:r>
      <w:r w:rsidR="00B1483F">
        <w:t>s</w:t>
      </w:r>
      <w:r w:rsidR="002B6543">
        <w:t xml:space="preserve">. </w:t>
      </w:r>
      <w:r w:rsidR="003A5B30">
        <w:t>F</w:t>
      </w:r>
      <w:r w:rsidR="002B6543">
        <w:t xml:space="preserve">ig </w:t>
      </w:r>
      <w:r w:rsidR="00CF246D">
        <w:t>6</w:t>
      </w:r>
      <w:r w:rsidR="003A5B30">
        <w:t xml:space="preserve">. </w:t>
      </w:r>
      <w:r w:rsidR="002B6543">
        <w:t>shows the maximum correlated variable for each county again</w:t>
      </w:r>
      <w:r w:rsidR="00B1483F">
        <w:t>s</w:t>
      </w:r>
      <w:r w:rsidR="002B6543">
        <w:t xml:space="preserve">t food insecurity. It can be seen similar diseases </w:t>
      </w:r>
      <w:r w:rsidR="00B1483F">
        <w:t>a</w:t>
      </w:r>
      <w:r w:rsidR="002B6543">
        <w:t>ffect neighboring counties. Thus if one targets these epidemics which sp</w:t>
      </w:r>
      <w:r w:rsidR="00B1483F">
        <w:t>r</w:t>
      </w:r>
      <w:r w:rsidR="002B6543">
        <w:t xml:space="preserve">ead across a few counties one can have higher food security. This analysis has been done </w:t>
      </w:r>
      <w:r w:rsidR="00B1483F">
        <w:t>from</w:t>
      </w:r>
      <w:r w:rsidR="002B6543">
        <w:t xml:space="preserve"> the perspective of food insecurity hence the disease highlighted in each county influences food insecurity. There can be other epidemics in a region our map shows the disease which may</w:t>
      </w:r>
      <w:r w:rsidR="00F725B0">
        <w:t xml:space="preserve"> be</w:t>
      </w:r>
      <w:r w:rsidR="002B6543">
        <w:t xml:space="preserve"> responsible for</w:t>
      </w:r>
      <w:r w:rsidR="00F725B0">
        <w:t xml:space="preserve"> higher</w:t>
      </w:r>
      <w:r w:rsidR="002B6543">
        <w:t xml:space="preserve"> food insecurity.</w:t>
      </w:r>
    </w:p>
    <w:p w14:paraId="7C0F0CA0" w14:textId="77777777" w:rsidR="003A5B30" w:rsidRDefault="003A5B30" w:rsidP="002B6543">
      <w:pPr>
        <w:jc w:val="both"/>
      </w:pPr>
    </w:p>
    <w:p w14:paraId="16C35254" w14:textId="48839217" w:rsidR="003A5B30" w:rsidRPr="001E1A9E" w:rsidRDefault="003A5B30" w:rsidP="003A5B30">
      <w:pPr>
        <w:jc w:val="both"/>
        <w:rPr>
          <w:sz w:val="16"/>
          <w:szCs w:val="16"/>
        </w:rPr>
      </w:pPr>
      <w:r w:rsidRPr="001E1A9E">
        <w:rPr>
          <w:sz w:val="16"/>
          <w:szCs w:val="16"/>
        </w:rPr>
        <w:t>Table V</w:t>
      </w:r>
    </w:p>
    <w:p w14:paraId="5E3A0C33" w14:textId="20DD44D1" w:rsidR="003A5B30" w:rsidRDefault="003A5B30" w:rsidP="003A5B30">
      <w:pPr>
        <w:jc w:val="both"/>
        <w:rPr>
          <w:sz w:val="16"/>
          <w:szCs w:val="16"/>
        </w:rPr>
      </w:pPr>
      <w:r w:rsidRPr="001E1A9E">
        <w:rPr>
          <w:sz w:val="16"/>
          <w:szCs w:val="16"/>
        </w:rPr>
        <w:t>Results on county</w:t>
      </w:r>
      <w:r w:rsidR="00B1483F">
        <w:rPr>
          <w:sz w:val="16"/>
          <w:szCs w:val="16"/>
        </w:rPr>
        <w:t>-</w:t>
      </w:r>
      <w:r w:rsidRPr="001E1A9E">
        <w:rPr>
          <w:sz w:val="16"/>
          <w:szCs w:val="16"/>
        </w:rPr>
        <w:t xml:space="preserve">level data using </w:t>
      </w:r>
      <w:r>
        <w:rPr>
          <w:sz w:val="16"/>
          <w:szCs w:val="16"/>
        </w:rPr>
        <w:t>classification</w:t>
      </w:r>
    </w:p>
    <w:tbl>
      <w:tblPr>
        <w:tblW w:w="5000" w:type="pct"/>
        <w:tblLook w:val="04A0" w:firstRow="1" w:lastRow="0" w:firstColumn="1" w:lastColumn="0" w:noHBand="0" w:noVBand="1"/>
      </w:tblPr>
      <w:tblGrid>
        <w:gridCol w:w="1758"/>
        <w:gridCol w:w="1759"/>
        <w:gridCol w:w="1516"/>
      </w:tblGrid>
      <w:tr w:rsidR="003A5B30" w:rsidRPr="003A5B30" w14:paraId="451232B4" w14:textId="77777777" w:rsidTr="003A5B30">
        <w:trPr>
          <w:trHeight w:val="290"/>
        </w:trPr>
        <w:tc>
          <w:tcPr>
            <w:tcW w:w="1747" w:type="pct"/>
            <w:tcBorders>
              <w:top w:val="single" w:sz="4" w:space="0" w:color="auto"/>
              <w:left w:val="nil"/>
              <w:bottom w:val="single" w:sz="4" w:space="0" w:color="auto"/>
              <w:right w:val="nil"/>
            </w:tcBorders>
            <w:shd w:val="clear" w:color="auto" w:fill="auto"/>
            <w:noWrap/>
            <w:vAlign w:val="bottom"/>
            <w:hideMark/>
          </w:tcPr>
          <w:p w14:paraId="5B60B42E"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 </w:t>
            </w:r>
          </w:p>
        </w:tc>
        <w:tc>
          <w:tcPr>
            <w:tcW w:w="17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D3F40"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LR</w:t>
            </w:r>
          </w:p>
        </w:tc>
        <w:tc>
          <w:tcPr>
            <w:tcW w:w="1506" w:type="pct"/>
            <w:tcBorders>
              <w:top w:val="single" w:sz="4" w:space="0" w:color="auto"/>
              <w:left w:val="nil"/>
              <w:bottom w:val="single" w:sz="4" w:space="0" w:color="auto"/>
              <w:right w:val="nil"/>
            </w:tcBorders>
            <w:shd w:val="clear" w:color="auto" w:fill="auto"/>
            <w:noWrap/>
            <w:vAlign w:val="bottom"/>
            <w:hideMark/>
          </w:tcPr>
          <w:p w14:paraId="53A03B5D"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RFC</w:t>
            </w:r>
          </w:p>
        </w:tc>
      </w:tr>
      <w:tr w:rsidR="003A5B30" w:rsidRPr="003A5B30" w14:paraId="315A732C" w14:textId="77777777" w:rsidTr="003A5B30">
        <w:trPr>
          <w:trHeight w:val="290"/>
        </w:trPr>
        <w:tc>
          <w:tcPr>
            <w:tcW w:w="1747" w:type="pct"/>
            <w:tcBorders>
              <w:top w:val="nil"/>
              <w:left w:val="nil"/>
              <w:bottom w:val="nil"/>
              <w:right w:val="nil"/>
            </w:tcBorders>
            <w:shd w:val="clear" w:color="auto" w:fill="auto"/>
            <w:noWrap/>
            <w:vAlign w:val="bottom"/>
            <w:hideMark/>
          </w:tcPr>
          <w:p w14:paraId="66300E03"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Health data</w:t>
            </w:r>
          </w:p>
        </w:tc>
        <w:tc>
          <w:tcPr>
            <w:tcW w:w="1747" w:type="pct"/>
            <w:tcBorders>
              <w:top w:val="nil"/>
              <w:left w:val="single" w:sz="4" w:space="0" w:color="auto"/>
              <w:bottom w:val="nil"/>
              <w:right w:val="single" w:sz="4" w:space="0" w:color="auto"/>
            </w:tcBorders>
            <w:shd w:val="clear" w:color="auto" w:fill="auto"/>
            <w:noWrap/>
            <w:vAlign w:val="bottom"/>
            <w:hideMark/>
          </w:tcPr>
          <w:p w14:paraId="5C967523"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0.57</w:t>
            </w:r>
          </w:p>
        </w:tc>
        <w:tc>
          <w:tcPr>
            <w:tcW w:w="1506" w:type="pct"/>
            <w:tcBorders>
              <w:top w:val="nil"/>
              <w:left w:val="nil"/>
              <w:bottom w:val="nil"/>
              <w:right w:val="nil"/>
            </w:tcBorders>
            <w:shd w:val="clear" w:color="auto" w:fill="auto"/>
            <w:noWrap/>
            <w:vAlign w:val="bottom"/>
            <w:hideMark/>
          </w:tcPr>
          <w:p w14:paraId="131896B6"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0.61</w:t>
            </w:r>
          </w:p>
        </w:tc>
      </w:tr>
      <w:tr w:rsidR="003A5B30" w:rsidRPr="003A5B30" w14:paraId="494236C3" w14:textId="77777777" w:rsidTr="003A5B30">
        <w:trPr>
          <w:trHeight w:val="290"/>
        </w:trPr>
        <w:tc>
          <w:tcPr>
            <w:tcW w:w="1747" w:type="pct"/>
            <w:tcBorders>
              <w:top w:val="nil"/>
              <w:left w:val="nil"/>
              <w:bottom w:val="nil"/>
              <w:right w:val="nil"/>
            </w:tcBorders>
            <w:shd w:val="clear" w:color="auto" w:fill="auto"/>
            <w:noWrap/>
            <w:vAlign w:val="bottom"/>
            <w:hideMark/>
          </w:tcPr>
          <w:p w14:paraId="76013B85"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with state</w:t>
            </w:r>
          </w:p>
        </w:tc>
        <w:tc>
          <w:tcPr>
            <w:tcW w:w="1747" w:type="pct"/>
            <w:tcBorders>
              <w:top w:val="nil"/>
              <w:left w:val="single" w:sz="4" w:space="0" w:color="auto"/>
              <w:bottom w:val="nil"/>
              <w:right w:val="single" w:sz="4" w:space="0" w:color="auto"/>
            </w:tcBorders>
            <w:shd w:val="clear" w:color="auto" w:fill="auto"/>
            <w:noWrap/>
            <w:vAlign w:val="bottom"/>
            <w:hideMark/>
          </w:tcPr>
          <w:p w14:paraId="285543AC"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0.65</w:t>
            </w:r>
          </w:p>
        </w:tc>
        <w:tc>
          <w:tcPr>
            <w:tcW w:w="1506" w:type="pct"/>
            <w:tcBorders>
              <w:top w:val="nil"/>
              <w:left w:val="nil"/>
              <w:bottom w:val="nil"/>
              <w:right w:val="nil"/>
            </w:tcBorders>
            <w:shd w:val="clear" w:color="auto" w:fill="auto"/>
            <w:noWrap/>
            <w:vAlign w:val="bottom"/>
            <w:hideMark/>
          </w:tcPr>
          <w:p w14:paraId="6A11D5C1"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0.7</w:t>
            </w:r>
          </w:p>
        </w:tc>
      </w:tr>
      <w:tr w:rsidR="003A5B30" w:rsidRPr="003A5B30" w14:paraId="3C13CAC2" w14:textId="77777777" w:rsidTr="003A5B30">
        <w:trPr>
          <w:trHeight w:val="290"/>
        </w:trPr>
        <w:tc>
          <w:tcPr>
            <w:tcW w:w="1747" w:type="pct"/>
            <w:tcBorders>
              <w:top w:val="nil"/>
              <w:left w:val="nil"/>
              <w:bottom w:val="single" w:sz="4" w:space="0" w:color="auto"/>
              <w:right w:val="nil"/>
            </w:tcBorders>
            <w:shd w:val="clear" w:color="auto" w:fill="auto"/>
            <w:noWrap/>
            <w:vAlign w:val="bottom"/>
            <w:hideMark/>
          </w:tcPr>
          <w:p w14:paraId="0C3BB507"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with county</w:t>
            </w:r>
          </w:p>
        </w:tc>
        <w:tc>
          <w:tcPr>
            <w:tcW w:w="1747" w:type="pct"/>
            <w:tcBorders>
              <w:top w:val="nil"/>
              <w:left w:val="single" w:sz="4" w:space="0" w:color="auto"/>
              <w:bottom w:val="single" w:sz="4" w:space="0" w:color="auto"/>
              <w:right w:val="single" w:sz="4" w:space="0" w:color="auto"/>
            </w:tcBorders>
            <w:shd w:val="clear" w:color="auto" w:fill="auto"/>
            <w:noWrap/>
            <w:vAlign w:val="bottom"/>
            <w:hideMark/>
          </w:tcPr>
          <w:p w14:paraId="699C8D61"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0.83</w:t>
            </w:r>
          </w:p>
        </w:tc>
        <w:tc>
          <w:tcPr>
            <w:tcW w:w="1506" w:type="pct"/>
            <w:tcBorders>
              <w:top w:val="nil"/>
              <w:left w:val="nil"/>
              <w:bottom w:val="single" w:sz="4" w:space="0" w:color="auto"/>
              <w:right w:val="nil"/>
            </w:tcBorders>
            <w:shd w:val="clear" w:color="auto" w:fill="auto"/>
            <w:noWrap/>
            <w:vAlign w:val="bottom"/>
            <w:hideMark/>
          </w:tcPr>
          <w:p w14:paraId="35E8B927" w14:textId="77777777" w:rsidR="003A5B30" w:rsidRPr="003A5B30" w:rsidRDefault="003A5B30" w:rsidP="003A5B30">
            <w:pPr>
              <w:jc w:val="center"/>
              <w:rPr>
                <w:rFonts w:eastAsia="Times New Roman"/>
                <w:color w:val="000000"/>
                <w:sz w:val="16"/>
                <w:szCs w:val="16"/>
                <w:lang w:val="en-IN" w:eastAsia="en-IN"/>
              </w:rPr>
            </w:pPr>
            <w:r w:rsidRPr="003A5B30">
              <w:rPr>
                <w:rFonts w:eastAsia="Times New Roman"/>
                <w:color w:val="000000"/>
                <w:sz w:val="16"/>
                <w:szCs w:val="16"/>
                <w:lang w:val="en-IN" w:eastAsia="en-IN"/>
              </w:rPr>
              <w:t>0.71</w:t>
            </w:r>
          </w:p>
        </w:tc>
      </w:tr>
    </w:tbl>
    <w:p w14:paraId="5A5C0C7C" w14:textId="77777777" w:rsidR="003A5B30" w:rsidRDefault="003A5B30" w:rsidP="003A5B30">
      <w:pPr>
        <w:jc w:val="both"/>
        <w:rPr>
          <w:sz w:val="16"/>
          <w:szCs w:val="16"/>
        </w:rPr>
      </w:pPr>
    </w:p>
    <w:p w14:paraId="3EC29C2E" w14:textId="6EAEF4A9" w:rsidR="003A5B30" w:rsidRDefault="003A5B30" w:rsidP="002B6543">
      <w:pPr>
        <w:jc w:val="both"/>
      </w:pPr>
    </w:p>
    <w:p w14:paraId="34B1A06F" w14:textId="2038A543" w:rsidR="003A5B30" w:rsidRDefault="003A5B30" w:rsidP="002B6543">
      <w:pPr>
        <w:jc w:val="both"/>
        <w:rPr>
          <w:b/>
        </w:rPr>
      </w:pPr>
      <w:r>
        <w:rPr>
          <w:noProof/>
        </w:rPr>
        <w:drawing>
          <wp:inline distT="0" distB="0" distL="0" distR="0" wp14:anchorId="1A922435" wp14:editId="7383BEB9">
            <wp:extent cx="3074450" cy="224605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3400" cy="2252589"/>
                    </a:xfrm>
                    <a:prstGeom prst="rect">
                      <a:avLst/>
                    </a:prstGeom>
                    <a:noFill/>
                  </pic:spPr>
                </pic:pic>
              </a:graphicData>
            </a:graphic>
          </wp:inline>
        </w:drawing>
      </w:r>
    </w:p>
    <w:p w14:paraId="3828BE1A" w14:textId="7966E9CD" w:rsidR="003A5B30" w:rsidRDefault="003A5B30" w:rsidP="002B6543">
      <w:pPr>
        <w:jc w:val="both"/>
        <w:rPr>
          <w:bCs/>
          <w:sz w:val="16"/>
          <w:szCs w:val="16"/>
        </w:rPr>
      </w:pPr>
      <w:r w:rsidRPr="00D40133">
        <w:rPr>
          <w:bCs/>
          <w:sz w:val="16"/>
          <w:szCs w:val="16"/>
        </w:rPr>
        <w:t xml:space="preserve">Fig </w:t>
      </w:r>
      <w:r w:rsidR="00CF246D">
        <w:rPr>
          <w:bCs/>
          <w:sz w:val="16"/>
          <w:szCs w:val="16"/>
        </w:rPr>
        <w:t>5</w:t>
      </w:r>
      <w:r w:rsidRPr="00D40133">
        <w:rPr>
          <w:bCs/>
          <w:sz w:val="16"/>
          <w:szCs w:val="16"/>
        </w:rPr>
        <w:t>. Classification results on the map</w:t>
      </w:r>
    </w:p>
    <w:p w14:paraId="4707B6AA" w14:textId="77777777" w:rsidR="00D40133" w:rsidRPr="00D40133" w:rsidRDefault="00D40133" w:rsidP="002B6543">
      <w:pPr>
        <w:jc w:val="both"/>
        <w:rPr>
          <w:bCs/>
          <w:sz w:val="16"/>
          <w:szCs w:val="16"/>
        </w:rPr>
      </w:pPr>
    </w:p>
    <w:p w14:paraId="5CAF567D" w14:textId="3B151CA7" w:rsidR="003A5B30" w:rsidRDefault="003A5B30" w:rsidP="002B6543">
      <w:pPr>
        <w:jc w:val="both"/>
        <w:rPr>
          <w:bCs/>
        </w:rPr>
      </w:pPr>
      <w:r>
        <w:rPr>
          <w:bCs/>
          <w:noProof/>
        </w:rPr>
        <w:drawing>
          <wp:inline distT="0" distB="0" distL="0" distR="0" wp14:anchorId="33F9010B" wp14:editId="0BD37787">
            <wp:extent cx="3500079" cy="266330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0098" cy="2670924"/>
                    </a:xfrm>
                    <a:prstGeom prst="rect">
                      <a:avLst/>
                    </a:prstGeom>
                    <a:noFill/>
                  </pic:spPr>
                </pic:pic>
              </a:graphicData>
            </a:graphic>
          </wp:inline>
        </w:drawing>
      </w:r>
    </w:p>
    <w:p w14:paraId="08FCC9A3" w14:textId="39D996CB" w:rsidR="003A5B30" w:rsidRPr="00D40133" w:rsidRDefault="00D40133" w:rsidP="002B6543">
      <w:pPr>
        <w:jc w:val="both"/>
        <w:rPr>
          <w:bCs/>
          <w:sz w:val="16"/>
          <w:szCs w:val="16"/>
        </w:rPr>
      </w:pPr>
      <w:r w:rsidRPr="00D40133">
        <w:rPr>
          <w:bCs/>
          <w:sz w:val="16"/>
          <w:szCs w:val="16"/>
        </w:rPr>
        <w:t xml:space="preserve">Fig </w:t>
      </w:r>
      <w:r w:rsidR="00CF246D">
        <w:rPr>
          <w:bCs/>
          <w:sz w:val="16"/>
          <w:szCs w:val="16"/>
        </w:rPr>
        <w:t>6</w:t>
      </w:r>
      <w:r w:rsidRPr="00D40133">
        <w:rPr>
          <w:bCs/>
          <w:sz w:val="16"/>
          <w:szCs w:val="16"/>
        </w:rPr>
        <w:t>. Mapping of maximum correlated diseases w.r.t food insecurity</w:t>
      </w:r>
    </w:p>
    <w:p w14:paraId="26B4DA58" w14:textId="4B6F758F" w:rsidR="003A5B30" w:rsidRPr="003A5B30" w:rsidRDefault="003A5B30" w:rsidP="002B6543">
      <w:pPr>
        <w:jc w:val="both"/>
        <w:rPr>
          <w:bCs/>
        </w:rPr>
      </w:pPr>
    </w:p>
    <w:p w14:paraId="2AAE2053" w14:textId="6C5FE56B" w:rsidR="000F5957" w:rsidRDefault="25F58879" w:rsidP="00532393">
      <w:pPr>
        <w:pStyle w:val="Heading1"/>
        <w:jc w:val="center"/>
      </w:pPr>
      <w:r>
        <w:t>conclusions</w:t>
      </w:r>
    </w:p>
    <w:p w14:paraId="06D70359" w14:textId="5F511DC9" w:rsidR="00313CFB" w:rsidRPr="000C7DE2" w:rsidRDefault="000C7DE2" w:rsidP="00313CFB">
      <w:pPr>
        <w:pStyle w:val="BodyText"/>
        <w:ind w:firstLine="0"/>
        <w:rPr>
          <w:lang w:val="en-IN"/>
        </w:rPr>
      </w:pPr>
      <w:r>
        <w:rPr>
          <w:lang w:val="en-IN"/>
        </w:rPr>
        <w:t>In this paper</w:t>
      </w:r>
      <w:r w:rsidR="00B1483F">
        <w:rPr>
          <w:lang w:val="en-IN"/>
        </w:rPr>
        <w:t>,</w:t>
      </w:r>
      <w:r>
        <w:rPr>
          <w:lang w:val="en-IN"/>
        </w:rPr>
        <w:t xml:space="preserve"> we have explored the hypothesis that food insecurity is </w:t>
      </w:r>
      <w:r w:rsidR="00B1483F">
        <w:rPr>
          <w:lang w:val="en-IN"/>
        </w:rPr>
        <w:t>a</w:t>
      </w:r>
      <w:r>
        <w:rPr>
          <w:lang w:val="en-IN"/>
        </w:rPr>
        <w:t xml:space="preserve">ffected by chronic diseases. </w:t>
      </w:r>
      <w:r w:rsidR="00B1483F">
        <w:rPr>
          <w:lang w:val="en-IN"/>
        </w:rPr>
        <w:t>A</w:t>
      </w:r>
      <w:r>
        <w:rPr>
          <w:lang w:val="en-IN"/>
        </w:rPr>
        <w:t xml:space="preserve"> population </w:t>
      </w:r>
      <w:r w:rsidR="00B1483F">
        <w:rPr>
          <w:lang w:val="en-IN"/>
        </w:rPr>
        <w:t>a</w:t>
      </w:r>
      <w:r>
        <w:rPr>
          <w:lang w:val="en-IN"/>
        </w:rPr>
        <w:t>ffected by a ch</w:t>
      </w:r>
      <w:r w:rsidR="00B1483F">
        <w:rPr>
          <w:lang w:val="en-IN"/>
        </w:rPr>
        <w:t>ro</w:t>
      </w:r>
      <w:r>
        <w:rPr>
          <w:lang w:val="en-IN"/>
        </w:rPr>
        <w:t xml:space="preserve">nic disease has to use all their resources </w:t>
      </w:r>
      <w:r w:rsidR="00B1483F">
        <w:rPr>
          <w:lang w:val="en-IN"/>
        </w:rPr>
        <w:t>o</w:t>
      </w:r>
      <w:r>
        <w:rPr>
          <w:lang w:val="en-IN"/>
        </w:rPr>
        <w:t xml:space="preserve">n medical expenditures and also may have a physical limitation leading to high food insecurity.  To prove this we predicted the food insecurity rates at </w:t>
      </w:r>
      <w:r w:rsidR="00B1483F">
        <w:rPr>
          <w:lang w:val="en-IN"/>
        </w:rPr>
        <w:t xml:space="preserve">the </w:t>
      </w:r>
      <w:r>
        <w:rPr>
          <w:lang w:val="en-IN"/>
        </w:rPr>
        <w:t>county level using health and county data and got a</w:t>
      </w:r>
      <w:r w:rsidR="00B1483F">
        <w:rPr>
          <w:lang w:val="en-IN"/>
        </w:rPr>
        <w:t>n</w:t>
      </w:r>
      <w:r>
        <w:rPr>
          <w:lang w:val="en-IN"/>
        </w:rPr>
        <w:t xml:space="preserve"> </w:t>
      </w:r>
      <w:r w:rsidR="00B1483F">
        <w:rPr>
          <w:lang w:val="en-IN"/>
        </w:rPr>
        <w:t>RMSE</w:t>
      </w:r>
      <w:r>
        <w:rPr>
          <w:lang w:val="en-IN"/>
        </w:rPr>
        <w:t xml:space="preserve"> of 0.015. This can help accurately predict food insecurity given health data. Additionally</w:t>
      </w:r>
      <w:r w:rsidR="00B1483F">
        <w:rPr>
          <w:lang w:val="en-IN"/>
        </w:rPr>
        <w:t>,</w:t>
      </w:r>
      <w:r>
        <w:rPr>
          <w:lang w:val="en-IN"/>
        </w:rPr>
        <w:t xml:space="preserve"> we divided the counties </w:t>
      </w:r>
      <w:r w:rsidR="00B1483F">
        <w:rPr>
          <w:lang w:val="en-IN"/>
        </w:rPr>
        <w:t>into</w:t>
      </w:r>
      <w:r>
        <w:rPr>
          <w:lang w:val="en-IN"/>
        </w:rPr>
        <w:t xml:space="preserve"> 7 levels and predicted the levels with an accuracy of 90% across </w:t>
      </w:r>
      <w:r w:rsidR="00B1483F">
        <w:rPr>
          <w:lang w:val="en-IN"/>
        </w:rPr>
        <w:t xml:space="preserve">the </w:t>
      </w:r>
      <w:r>
        <w:rPr>
          <w:lang w:val="en-IN"/>
        </w:rPr>
        <w:t>USA. Th</w:t>
      </w:r>
      <w:r w:rsidR="00B1483F">
        <w:rPr>
          <w:lang w:val="en-IN"/>
        </w:rPr>
        <w:t xml:space="preserve">ese food insecurity levels </w:t>
      </w:r>
      <w:r>
        <w:rPr>
          <w:lang w:val="en-IN"/>
        </w:rPr>
        <w:t>can help identify critical counties and resources can be used to help those counties. To fu</w:t>
      </w:r>
      <w:r w:rsidR="00B1483F">
        <w:rPr>
          <w:lang w:val="en-IN"/>
        </w:rPr>
        <w:t>r</w:t>
      </w:r>
      <w:r>
        <w:rPr>
          <w:lang w:val="en-IN"/>
        </w:rPr>
        <w:t>ther strengthen this point we mapped maximum correlated variables against food insecurity rate</w:t>
      </w:r>
      <w:r w:rsidR="00B1483F">
        <w:rPr>
          <w:lang w:val="en-IN"/>
        </w:rPr>
        <w:t>s</w:t>
      </w:r>
      <w:r>
        <w:rPr>
          <w:lang w:val="en-IN"/>
        </w:rPr>
        <w:t xml:space="preserve"> </w:t>
      </w:r>
      <w:r w:rsidR="00B1483F">
        <w:rPr>
          <w:lang w:val="en-IN"/>
        </w:rPr>
        <w:t>i</w:t>
      </w:r>
      <w:r>
        <w:rPr>
          <w:lang w:val="en-IN"/>
        </w:rPr>
        <w:t>n 5 population</w:t>
      </w:r>
      <w:r w:rsidR="00B1483F">
        <w:rPr>
          <w:lang w:val="en-IN"/>
        </w:rPr>
        <w:t>-</w:t>
      </w:r>
      <w:r>
        <w:rPr>
          <w:lang w:val="en-IN"/>
        </w:rPr>
        <w:t>hig</w:t>
      </w:r>
      <w:r w:rsidR="00B1483F">
        <w:rPr>
          <w:lang w:val="en-IN"/>
        </w:rPr>
        <w:t>h</w:t>
      </w:r>
      <w:r>
        <w:rPr>
          <w:lang w:val="en-IN"/>
        </w:rPr>
        <w:t xml:space="preserve"> states. The mapping show</w:t>
      </w:r>
      <w:r w:rsidR="00B1483F">
        <w:rPr>
          <w:lang w:val="en-IN"/>
        </w:rPr>
        <w:t>s</w:t>
      </w:r>
      <w:r>
        <w:rPr>
          <w:lang w:val="en-IN"/>
        </w:rPr>
        <w:t xml:space="preserve"> that neighboring counties regularly suffer from the same disease. Hence one can solve </w:t>
      </w:r>
      <w:r w:rsidR="00B1483F">
        <w:rPr>
          <w:lang w:val="en-IN"/>
        </w:rPr>
        <w:t xml:space="preserve">the </w:t>
      </w:r>
      <w:r>
        <w:rPr>
          <w:lang w:val="en-IN"/>
        </w:rPr>
        <w:t>food insecurity of a cluster of neighboring counties by identifying the disease they are suffering from. For future research</w:t>
      </w:r>
      <w:r w:rsidR="00B1483F">
        <w:rPr>
          <w:lang w:val="en-IN"/>
        </w:rPr>
        <w:t>,</w:t>
      </w:r>
      <w:r>
        <w:rPr>
          <w:lang w:val="en-IN"/>
        </w:rPr>
        <w:t xml:space="preserve"> we can explore more </w:t>
      </w:r>
      <w:r w:rsidR="00011B6F">
        <w:rPr>
          <w:lang w:val="en-IN"/>
        </w:rPr>
        <w:t>historical data to strengthen our understanding of health metrics and food insecurity. With high temporal data</w:t>
      </w:r>
      <w:r w:rsidR="00B1483F">
        <w:rPr>
          <w:lang w:val="en-IN"/>
        </w:rPr>
        <w:t>,</w:t>
      </w:r>
      <w:r w:rsidR="00011B6F">
        <w:rPr>
          <w:lang w:val="en-IN"/>
        </w:rPr>
        <w:t xml:space="preserve"> we might be able to use deep neural networks to predict food insecurities in the future.</w:t>
      </w:r>
    </w:p>
    <w:p w14:paraId="7602A92E" w14:textId="5CA05BC8" w:rsidR="006D0964" w:rsidRDefault="006D0964" w:rsidP="006D0964">
      <w:pPr>
        <w:pStyle w:val="Heading5"/>
        <w:jc w:val="center"/>
      </w:pPr>
      <w:r>
        <w:t>appendix</w:t>
      </w:r>
    </w:p>
    <w:p w14:paraId="56A01A6E" w14:textId="77777777" w:rsidR="008F41F6" w:rsidRPr="00031438" w:rsidRDefault="008F41F6" w:rsidP="008F41F6">
      <w:pPr>
        <w:pStyle w:val="BodyText"/>
        <w:ind w:firstLine="0"/>
        <w:rPr>
          <w:iCs/>
          <w:u w:val="single"/>
          <w:lang w:val="en-US"/>
        </w:rPr>
      </w:pPr>
      <w:r w:rsidRPr="00031438">
        <w:rPr>
          <w:iCs/>
          <w:u w:val="single"/>
          <w:lang w:val="en-US"/>
        </w:rPr>
        <w:t>Data variables</w:t>
      </w:r>
    </w:p>
    <w:p w14:paraId="5722C7A6" w14:textId="77777777" w:rsidR="008F41F6" w:rsidRDefault="008F41F6" w:rsidP="008F41F6">
      <w:pPr>
        <w:pStyle w:val="BodyText"/>
        <w:numPr>
          <w:ilvl w:val="0"/>
          <w:numId w:val="27"/>
        </w:numPr>
        <w:ind w:left="648" w:hanging="288"/>
        <w:rPr>
          <w:iCs/>
          <w:lang w:val="en-US"/>
        </w:rPr>
      </w:pPr>
      <w:r>
        <w:rPr>
          <w:iCs/>
          <w:lang w:val="en-US"/>
        </w:rPr>
        <w:t>DATA 1: children’s dataset</w:t>
      </w:r>
    </w:p>
    <w:tbl>
      <w:tblPr>
        <w:tblStyle w:val="TableGrid"/>
        <w:tblW w:w="0" w:type="dxa"/>
        <w:tblLook w:val="04A0" w:firstRow="1" w:lastRow="0" w:firstColumn="1" w:lastColumn="0" w:noHBand="0" w:noVBand="1"/>
      </w:tblPr>
      <w:tblGrid>
        <w:gridCol w:w="1795"/>
        <w:gridCol w:w="3138"/>
      </w:tblGrid>
      <w:tr w:rsidR="008F41F6" w:rsidRPr="006E2BAB" w14:paraId="7951AA45" w14:textId="77777777" w:rsidTr="00A614AF">
        <w:tc>
          <w:tcPr>
            <w:tcW w:w="1795" w:type="dxa"/>
          </w:tcPr>
          <w:p w14:paraId="6C521567" w14:textId="77777777" w:rsidR="008F41F6" w:rsidRPr="006E2BAB" w:rsidRDefault="008F41F6" w:rsidP="00A614AF">
            <w:pPr>
              <w:pStyle w:val="BodyText"/>
              <w:ind w:firstLine="0"/>
              <w:rPr>
                <w:b/>
                <w:bCs/>
                <w:iCs/>
                <w:sz w:val="16"/>
                <w:szCs w:val="16"/>
                <w:lang w:val="en-US"/>
              </w:rPr>
            </w:pPr>
            <w:r w:rsidRPr="006E2BAB">
              <w:rPr>
                <w:b/>
                <w:bCs/>
                <w:iCs/>
                <w:sz w:val="16"/>
                <w:szCs w:val="16"/>
                <w:lang w:val="en-US"/>
              </w:rPr>
              <w:t xml:space="preserve">Variable </w:t>
            </w:r>
          </w:p>
        </w:tc>
        <w:tc>
          <w:tcPr>
            <w:tcW w:w="3138" w:type="dxa"/>
          </w:tcPr>
          <w:p w14:paraId="240BF20D" w14:textId="77777777" w:rsidR="008F41F6" w:rsidRPr="006E2BAB" w:rsidRDefault="008F41F6" w:rsidP="00A614AF">
            <w:pPr>
              <w:pStyle w:val="BodyText"/>
              <w:ind w:firstLine="0"/>
              <w:rPr>
                <w:b/>
                <w:bCs/>
                <w:iCs/>
                <w:sz w:val="16"/>
                <w:szCs w:val="16"/>
                <w:lang w:val="en-US"/>
              </w:rPr>
            </w:pPr>
            <w:r w:rsidRPr="006E2BAB">
              <w:rPr>
                <w:b/>
                <w:bCs/>
                <w:iCs/>
                <w:sz w:val="16"/>
                <w:szCs w:val="16"/>
                <w:lang w:val="en-US"/>
              </w:rPr>
              <w:t>Description</w:t>
            </w:r>
          </w:p>
        </w:tc>
      </w:tr>
      <w:tr w:rsidR="008F41F6" w:rsidRPr="006E2BAB" w14:paraId="2738AAE7" w14:textId="77777777" w:rsidTr="00A614AF">
        <w:trPr>
          <w:trHeight w:val="341"/>
        </w:trPr>
        <w:tc>
          <w:tcPr>
            <w:tcW w:w="1795" w:type="dxa"/>
          </w:tcPr>
          <w:p w14:paraId="4CFE1931" w14:textId="77777777" w:rsidR="008F41F6" w:rsidRPr="006E2BAB" w:rsidRDefault="008F41F6" w:rsidP="00A614AF">
            <w:pPr>
              <w:pStyle w:val="BodyText"/>
              <w:ind w:firstLine="0"/>
              <w:rPr>
                <w:iCs/>
                <w:sz w:val="16"/>
                <w:szCs w:val="16"/>
                <w:lang w:val="en-US"/>
              </w:rPr>
            </w:pPr>
            <w:r w:rsidRPr="006E2BAB">
              <w:rPr>
                <w:iCs/>
                <w:sz w:val="16"/>
                <w:szCs w:val="16"/>
                <w:lang w:val="en-US"/>
              </w:rPr>
              <w:t>YEAR</w:t>
            </w:r>
          </w:p>
        </w:tc>
        <w:tc>
          <w:tcPr>
            <w:tcW w:w="3138" w:type="dxa"/>
          </w:tcPr>
          <w:p w14:paraId="4B195E04" w14:textId="77777777" w:rsidR="008F41F6" w:rsidRPr="006E2BAB" w:rsidRDefault="008F41F6" w:rsidP="00A614AF">
            <w:pPr>
              <w:pStyle w:val="BodyText"/>
              <w:ind w:firstLine="0"/>
              <w:rPr>
                <w:iCs/>
                <w:sz w:val="16"/>
                <w:szCs w:val="16"/>
                <w:lang w:val="en-US"/>
              </w:rPr>
            </w:pPr>
            <w:r>
              <w:rPr>
                <w:iCs/>
                <w:sz w:val="16"/>
                <w:szCs w:val="16"/>
                <w:lang w:val="en-US"/>
              </w:rPr>
              <w:t>Discrete. Values from 2016 to 2020</w:t>
            </w:r>
          </w:p>
        </w:tc>
      </w:tr>
      <w:tr w:rsidR="008F41F6" w:rsidRPr="006E2BAB" w14:paraId="35E971B7" w14:textId="77777777" w:rsidTr="00A614AF">
        <w:tc>
          <w:tcPr>
            <w:tcW w:w="1795" w:type="dxa"/>
          </w:tcPr>
          <w:p w14:paraId="44012587" w14:textId="77777777" w:rsidR="008F41F6" w:rsidRPr="006E2BAB" w:rsidRDefault="008F41F6" w:rsidP="00A614AF">
            <w:pPr>
              <w:pStyle w:val="BodyText"/>
              <w:ind w:firstLine="0"/>
              <w:rPr>
                <w:iCs/>
                <w:sz w:val="16"/>
                <w:szCs w:val="16"/>
                <w:lang w:val="en-US"/>
              </w:rPr>
            </w:pPr>
            <w:r w:rsidRPr="006E2BAB">
              <w:rPr>
                <w:iCs/>
                <w:sz w:val="16"/>
                <w:szCs w:val="16"/>
                <w:lang w:val="en-US"/>
              </w:rPr>
              <w:t>A1_AGE</w:t>
            </w:r>
          </w:p>
        </w:tc>
        <w:tc>
          <w:tcPr>
            <w:tcW w:w="3138" w:type="dxa"/>
          </w:tcPr>
          <w:p w14:paraId="7B097C10" w14:textId="77777777" w:rsidR="008F41F6" w:rsidRPr="006E2BAB" w:rsidRDefault="008F41F6" w:rsidP="00A614AF">
            <w:pPr>
              <w:pStyle w:val="BodyText"/>
              <w:ind w:firstLine="0"/>
              <w:rPr>
                <w:iCs/>
                <w:sz w:val="16"/>
                <w:szCs w:val="16"/>
                <w:lang w:val="en-US"/>
              </w:rPr>
            </w:pPr>
            <w:r>
              <w:rPr>
                <w:iCs/>
                <w:sz w:val="16"/>
                <w:szCs w:val="16"/>
                <w:lang w:val="en-US"/>
              </w:rPr>
              <w:t>Continuous. Average age of primary parent/caregiver by state.</w:t>
            </w:r>
          </w:p>
        </w:tc>
      </w:tr>
      <w:tr w:rsidR="008F41F6" w:rsidRPr="006E2BAB" w14:paraId="4F30BEC2" w14:textId="77777777" w:rsidTr="00A614AF">
        <w:tc>
          <w:tcPr>
            <w:tcW w:w="1795" w:type="dxa"/>
          </w:tcPr>
          <w:p w14:paraId="57BC55B7" w14:textId="77777777" w:rsidR="008F41F6" w:rsidRPr="006E2BAB" w:rsidRDefault="008F41F6" w:rsidP="00A614AF">
            <w:pPr>
              <w:pStyle w:val="BodyText"/>
              <w:ind w:firstLine="0"/>
              <w:rPr>
                <w:iCs/>
                <w:sz w:val="16"/>
                <w:szCs w:val="16"/>
                <w:lang w:val="en-US"/>
              </w:rPr>
            </w:pPr>
            <w:r w:rsidRPr="006E2BAB">
              <w:rPr>
                <w:iCs/>
                <w:sz w:val="16"/>
                <w:szCs w:val="16"/>
                <w:lang w:val="en-US"/>
              </w:rPr>
              <w:t>A2_AGE</w:t>
            </w:r>
          </w:p>
        </w:tc>
        <w:tc>
          <w:tcPr>
            <w:tcW w:w="3138" w:type="dxa"/>
          </w:tcPr>
          <w:p w14:paraId="6F313E52" w14:textId="77777777" w:rsidR="008F41F6" w:rsidRPr="006E2BAB" w:rsidRDefault="008F41F6" w:rsidP="00A614AF">
            <w:pPr>
              <w:pStyle w:val="BodyText"/>
              <w:ind w:firstLine="0"/>
              <w:rPr>
                <w:iCs/>
                <w:sz w:val="16"/>
                <w:szCs w:val="16"/>
                <w:lang w:val="en-US"/>
              </w:rPr>
            </w:pPr>
            <w:r>
              <w:rPr>
                <w:iCs/>
                <w:sz w:val="16"/>
                <w:szCs w:val="16"/>
                <w:lang w:val="en-US"/>
              </w:rPr>
              <w:t>Continuous. Average age of second parent/caregiver by state.</w:t>
            </w:r>
          </w:p>
        </w:tc>
      </w:tr>
      <w:tr w:rsidR="008F41F6" w:rsidRPr="006E2BAB" w14:paraId="52B016D1" w14:textId="77777777" w:rsidTr="00A614AF">
        <w:tc>
          <w:tcPr>
            <w:tcW w:w="1795" w:type="dxa"/>
          </w:tcPr>
          <w:p w14:paraId="1C12F2C5" w14:textId="77777777" w:rsidR="008F41F6" w:rsidRPr="006E2BAB" w:rsidRDefault="008F41F6" w:rsidP="00A614AF">
            <w:pPr>
              <w:pStyle w:val="BodyText"/>
              <w:ind w:firstLine="0"/>
              <w:rPr>
                <w:iCs/>
                <w:sz w:val="16"/>
                <w:szCs w:val="16"/>
                <w:lang w:val="en-US"/>
              </w:rPr>
            </w:pPr>
            <w:r w:rsidRPr="006E2BAB">
              <w:rPr>
                <w:iCs/>
                <w:sz w:val="16"/>
                <w:szCs w:val="16"/>
                <w:lang w:val="en-US"/>
              </w:rPr>
              <w:t>ACE</w:t>
            </w:r>
          </w:p>
        </w:tc>
        <w:tc>
          <w:tcPr>
            <w:tcW w:w="3138" w:type="dxa"/>
          </w:tcPr>
          <w:p w14:paraId="1DF81E53" w14:textId="77777777" w:rsidR="008F41F6" w:rsidRPr="006E2BAB" w:rsidRDefault="008F41F6" w:rsidP="00A614AF">
            <w:pPr>
              <w:pStyle w:val="BodyText"/>
              <w:ind w:firstLine="0"/>
              <w:rPr>
                <w:iCs/>
                <w:sz w:val="16"/>
                <w:szCs w:val="16"/>
                <w:lang w:val="en-US"/>
              </w:rPr>
            </w:pPr>
            <w:r>
              <w:rPr>
                <w:iCs/>
                <w:sz w:val="16"/>
                <w:szCs w:val="16"/>
                <w:lang w:val="en-US"/>
              </w:rPr>
              <w:t>% by state of children having an adverse childhood experience (parents divorced, any in jail, abuse or domestic violence, etc. Calculated from binary Y/N variable).</w:t>
            </w:r>
          </w:p>
        </w:tc>
      </w:tr>
      <w:tr w:rsidR="008F41F6" w:rsidRPr="006E2BAB" w14:paraId="3B4D576F" w14:textId="77777777" w:rsidTr="00A614AF">
        <w:tc>
          <w:tcPr>
            <w:tcW w:w="1795" w:type="dxa"/>
          </w:tcPr>
          <w:p w14:paraId="48682066" w14:textId="77777777" w:rsidR="008F41F6" w:rsidRPr="006E2BAB" w:rsidRDefault="008F41F6" w:rsidP="00A614AF">
            <w:pPr>
              <w:pStyle w:val="BodyText"/>
              <w:ind w:firstLine="0"/>
              <w:rPr>
                <w:iCs/>
                <w:sz w:val="16"/>
                <w:szCs w:val="16"/>
                <w:lang w:val="en-US"/>
              </w:rPr>
            </w:pPr>
            <w:r w:rsidRPr="006E2BAB">
              <w:rPr>
                <w:iCs/>
                <w:sz w:val="16"/>
                <w:szCs w:val="16"/>
                <w:lang w:val="en-US"/>
              </w:rPr>
              <w:lastRenderedPageBreak/>
              <w:t>FOODASIST</w:t>
            </w:r>
          </w:p>
        </w:tc>
        <w:tc>
          <w:tcPr>
            <w:tcW w:w="3138" w:type="dxa"/>
          </w:tcPr>
          <w:p w14:paraId="5DAFC60A" w14:textId="77777777" w:rsidR="008F41F6" w:rsidRPr="006E2BAB" w:rsidRDefault="008F41F6" w:rsidP="00A614AF">
            <w:pPr>
              <w:pStyle w:val="BodyText"/>
              <w:ind w:firstLine="0"/>
              <w:rPr>
                <w:iCs/>
                <w:sz w:val="16"/>
                <w:szCs w:val="16"/>
                <w:lang w:val="en-US"/>
              </w:rPr>
            </w:pPr>
            <w:r>
              <w:rPr>
                <w:iCs/>
                <w:sz w:val="16"/>
                <w:szCs w:val="16"/>
                <w:lang w:val="en-US"/>
              </w:rPr>
              <w:t>% by state receiving food assistance (calculated from binary Y/N variable)</w:t>
            </w:r>
          </w:p>
        </w:tc>
      </w:tr>
      <w:tr w:rsidR="008F41F6" w:rsidRPr="006E2BAB" w14:paraId="31BFE427" w14:textId="77777777" w:rsidTr="00A614AF">
        <w:tc>
          <w:tcPr>
            <w:tcW w:w="1795" w:type="dxa"/>
          </w:tcPr>
          <w:p w14:paraId="21200316" w14:textId="77777777" w:rsidR="008F41F6" w:rsidRPr="006E2BAB" w:rsidRDefault="008F41F6" w:rsidP="00A614AF">
            <w:pPr>
              <w:pStyle w:val="BodyText"/>
              <w:ind w:firstLine="0"/>
              <w:rPr>
                <w:iCs/>
                <w:sz w:val="16"/>
                <w:szCs w:val="16"/>
                <w:lang w:val="en-US"/>
              </w:rPr>
            </w:pPr>
            <w:r w:rsidRPr="006E2BAB">
              <w:rPr>
                <w:iCs/>
                <w:sz w:val="16"/>
                <w:szCs w:val="16"/>
                <w:lang w:val="en-US"/>
              </w:rPr>
              <w:t>ANXIETY</w:t>
            </w:r>
          </w:p>
        </w:tc>
        <w:tc>
          <w:tcPr>
            <w:tcW w:w="3138" w:type="dxa"/>
          </w:tcPr>
          <w:p w14:paraId="64231A96" w14:textId="77777777" w:rsidR="008F41F6" w:rsidRPr="006E2BAB" w:rsidRDefault="008F41F6" w:rsidP="00A614AF">
            <w:pPr>
              <w:pStyle w:val="BodyText"/>
              <w:ind w:firstLine="0"/>
              <w:rPr>
                <w:iCs/>
                <w:sz w:val="16"/>
                <w:szCs w:val="16"/>
                <w:lang w:val="en-US"/>
              </w:rPr>
            </w:pPr>
            <w:r>
              <w:rPr>
                <w:iCs/>
                <w:sz w:val="16"/>
                <w:szCs w:val="16"/>
                <w:lang w:val="en-US"/>
              </w:rPr>
              <w:t>% of children having anxiety condition (calculated from binary Y/N variable)</w:t>
            </w:r>
          </w:p>
        </w:tc>
      </w:tr>
      <w:tr w:rsidR="008F41F6" w:rsidRPr="006E2BAB" w14:paraId="369233F6" w14:textId="77777777" w:rsidTr="00A614AF">
        <w:tc>
          <w:tcPr>
            <w:tcW w:w="1795" w:type="dxa"/>
          </w:tcPr>
          <w:p w14:paraId="29A08915" w14:textId="77777777" w:rsidR="008F41F6" w:rsidRPr="006E2BAB" w:rsidRDefault="008F41F6" w:rsidP="00A614AF">
            <w:pPr>
              <w:pStyle w:val="BodyText"/>
              <w:ind w:firstLine="0"/>
              <w:rPr>
                <w:iCs/>
                <w:sz w:val="16"/>
                <w:szCs w:val="16"/>
                <w:lang w:val="en-US"/>
              </w:rPr>
            </w:pPr>
            <w:r w:rsidRPr="006E2BAB">
              <w:rPr>
                <w:iCs/>
                <w:sz w:val="16"/>
                <w:szCs w:val="16"/>
                <w:lang w:val="en-US"/>
              </w:rPr>
              <w:t>DEPRESSION</w:t>
            </w:r>
          </w:p>
        </w:tc>
        <w:tc>
          <w:tcPr>
            <w:tcW w:w="3138" w:type="dxa"/>
          </w:tcPr>
          <w:p w14:paraId="0EB7A719" w14:textId="77777777" w:rsidR="008F41F6" w:rsidRPr="006E2BAB" w:rsidRDefault="008F41F6" w:rsidP="00A614AF">
            <w:pPr>
              <w:pStyle w:val="BodyText"/>
              <w:ind w:firstLine="0"/>
              <w:rPr>
                <w:iCs/>
                <w:sz w:val="16"/>
                <w:szCs w:val="16"/>
                <w:lang w:val="en-US"/>
              </w:rPr>
            </w:pPr>
            <w:r>
              <w:rPr>
                <w:iCs/>
                <w:sz w:val="16"/>
                <w:szCs w:val="16"/>
                <w:lang w:val="en-US"/>
              </w:rPr>
              <w:t>% of children having depression (calculated from binary Y/N variable).</w:t>
            </w:r>
          </w:p>
        </w:tc>
      </w:tr>
    </w:tbl>
    <w:p w14:paraId="21E041F4" w14:textId="77777777" w:rsidR="008F41F6" w:rsidRDefault="008F41F6" w:rsidP="008F41F6">
      <w:pPr>
        <w:pStyle w:val="BodyText"/>
        <w:ind w:firstLine="0"/>
        <w:rPr>
          <w:iCs/>
          <w:lang w:val="en-US"/>
        </w:rPr>
      </w:pPr>
    </w:p>
    <w:p w14:paraId="334F0276" w14:textId="77777777" w:rsidR="008F41F6" w:rsidRDefault="008F41F6" w:rsidP="008F41F6">
      <w:pPr>
        <w:pStyle w:val="BodyText"/>
        <w:numPr>
          <w:ilvl w:val="0"/>
          <w:numId w:val="26"/>
        </w:numPr>
        <w:ind w:left="648" w:hanging="288"/>
        <w:rPr>
          <w:iCs/>
          <w:lang w:val="en-US"/>
        </w:rPr>
      </w:pPr>
      <w:r>
        <w:rPr>
          <w:iCs/>
          <w:lang w:val="en-US"/>
        </w:rPr>
        <w:t>DATA 2: adults’ dataset</w:t>
      </w:r>
    </w:p>
    <w:tbl>
      <w:tblPr>
        <w:tblStyle w:val="TableGrid"/>
        <w:tblW w:w="0" w:type="dxa"/>
        <w:tblLook w:val="04A0" w:firstRow="1" w:lastRow="0" w:firstColumn="1" w:lastColumn="0" w:noHBand="0" w:noVBand="1"/>
      </w:tblPr>
      <w:tblGrid>
        <w:gridCol w:w="1852"/>
        <w:gridCol w:w="3171"/>
      </w:tblGrid>
      <w:tr w:rsidR="008F41F6" w:rsidRPr="006E2BAB" w14:paraId="25F87B92" w14:textId="77777777" w:rsidTr="00A614AF">
        <w:tc>
          <w:tcPr>
            <w:tcW w:w="1852" w:type="dxa"/>
          </w:tcPr>
          <w:p w14:paraId="791E3404" w14:textId="77777777" w:rsidR="008F41F6" w:rsidRPr="006E2BAB" w:rsidRDefault="008F41F6" w:rsidP="00A614AF">
            <w:pPr>
              <w:pStyle w:val="BodyText"/>
              <w:ind w:firstLine="0"/>
              <w:rPr>
                <w:b/>
                <w:bCs/>
                <w:iCs/>
                <w:sz w:val="16"/>
                <w:szCs w:val="16"/>
                <w:lang w:val="en-US"/>
              </w:rPr>
            </w:pPr>
            <w:r w:rsidRPr="006E2BAB">
              <w:rPr>
                <w:b/>
                <w:bCs/>
                <w:iCs/>
                <w:sz w:val="16"/>
                <w:szCs w:val="16"/>
                <w:lang w:val="en-US"/>
              </w:rPr>
              <w:t xml:space="preserve">Variable </w:t>
            </w:r>
          </w:p>
        </w:tc>
        <w:tc>
          <w:tcPr>
            <w:tcW w:w="3171" w:type="dxa"/>
          </w:tcPr>
          <w:p w14:paraId="16BE84C7" w14:textId="77777777" w:rsidR="008F41F6" w:rsidRPr="006E2BAB" w:rsidRDefault="008F41F6" w:rsidP="00A614AF">
            <w:pPr>
              <w:pStyle w:val="BodyText"/>
              <w:ind w:firstLine="0"/>
              <w:rPr>
                <w:b/>
                <w:bCs/>
                <w:iCs/>
                <w:sz w:val="16"/>
                <w:szCs w:val="16"/>
                <w:lang w:val="en-US"/>
              </w:rPr>
            </w:pPr>
            <w:r w:rsidRPr="006E2BAB">
              <w:rPr>
                <w:b/>
                <w:bCs/>
                <w:iCs/>
                <w:sz w:val="16"/>
                <w:szCs w:val="16"/>
                <w:lang w:val="en-US"/>
              </w:rPr>
              <w:t>Description</w:t>
            </w:r>
          </w:p>
        </w:tc>
      </w:tr>
      <w:tr w:rsidR="008F41F6" w:rsidRPr="006E2BAB" w14:paraId="1BB00951" w14:textId="77777777" w:rsidTr="00A614AF">
        <w:trPr>
          <w:trHeight w:val="341"/>
        </w:trPr>
        <w:tc>
          <w:tcPr>
            <w:tcW w:w="1852" w:type="dxa"/>
          </w:tcPr>
          <w:p w14:paraId="48A94922" w14:textId="77777777" w:rsidR="008F41F6" w:rsidRPr="006E2BAB" w:rsidRDefault="008F41F6" w:rsidP="00A614AF">
            <w:pPr>
              <w:pStyle w:val="BodyText"/>
              <w:ind w:firstLine="0"/>
              <w:rPr>
                <w:iCs/>
                <w:sz w:val="16"/>
                <w:szCs w:val="16"/>
                <w:lang w:val="en-US"/>
              </w:rPr>
            </w:pPr>
            <w:r w:rsidRPr="006E2BAB">
              <w:rPr>
                <w:iCs/>
                <w:sz w:val="16"/>
                <w:szCs w:val="16"/>
                <w:lang w:val="en-US"/>
              </w:rPr>
              <w:t>Cost Per Meal</w:t>
            </w:r>
          </w:p>
        </w:tc>
        <w:tc>
          <w:tcPr>
            <w:tcW w:w="3171" w:type="dxa"/>
          </w:tcPr>
          <w:p w14:paraId="216786ED" w14:textId="77777777" w:rsidR="008F41F6" w:rsidRPr="006E2BAB" w:rsidRDefault="008F41F6" w:rsidP="00A614AF">
            <w:pPr>
              <w:pStyle w:val="BodyText"/>
              <w:ind w:firstLine="0"/>
              <w:rPr>
                <w:iCs/>
                <w:sz w:val="16"/>
                <w:szCs w:val="16"/>
                <w:lang w:val="en-US"/>
              </w:rPr>
            </w:pPr>
            <w:r>
              <w:rPr>
                <w:iCs/>
                <w:sz w:val="16"/>
                <w:szCs w:val="16"/>
                <w:lang w:val="en-US"/>
              </w:rPr>
              <w:t>Continuous. A</w:t>
            </w:r>
            <w:r w:rsidRPr="005A435C">
              <w:rPr>
                <w:iCs/>
                <w:sz w:val="16"/>
                <w:szCs w:val="16"/>
                <w:lang w:val="en-US"/>
              </w:rPr>
              <w:t xml:space="preserve">verage amount spent per week by food secure individuals </w:t>
            </w:r>
            <w:r>
              <w:rPr>
                <w:iCs/>
                <w:sz w:val="16"/>
                <w:szCs w:val="16"/>
                <w:lang w:val="en-US"/>
              </w:rPr>
              <w:t>divided into</w:t>
            </w:r>
            <w:r w:rsidRPr="005A435C">
              <w:rPr>
                <w:iCs/>
                <w:sz w:val="16"/>
                <w:szCs w:val="16"/>
                <w:lang w:val="en-US"/>
              </w:rPr>
              <w:t xml:space="preserve"> 21 (3 meals per day, seven days a week)</w:t>
            </w:r>
            <w:r>
              <w:rPr>
                <w:iCs/>
                <w:sz w:val="16"/>
                <w:szCs w:val="16"/>
                <w:lang w:val="en-US"/>
              </w:rPr>
              <w:t>.</w:t>
            </w:r>
          </w:p>
        </w:tc>
      </w:tr>
      <w:tr w:rsidR="008F41F6" w:rsidRPr="006E2BAB" w14:paraId="0D520032" w14:textId="77777777" w:rsidTr="00A614AF">
        <w:tc>
          <w:tcPr>
            <w:tcW w:w="1852" w:type="dxa"/>
          </w:tcPr>
          <w:p w14:paraId="4B622C63" w14:textId="77777777" w:rsidR="008F41F6" w:rsidRPr="006E2BAB" w:rsidRDefault="008F41F6" w:rsidP="00A614AF">
            <w:pPr>
              <w:pStyle w:val="BodyText"/>
              <w:ind w:firstLine="0"/>
              <w:rPr>
                <w:iCs/>
                <w:sz w:val="16"/>
                <w:szCs w:val="16"/>
                <w:lang w:val="en-US"/>
              </w:rPr>
            </w:pPr>
            <w:r w:rsidRPr="006E2BAB">
              <w:rPr>
                <w:iCs/>
                <w:sz w:val="16"/>
                <w:szCs w:val="16"/>
                <w:lang w:val="en-US"/>
              </w:rPr>
              <w:t>Arthritis Prevalence (%)</w:t>
            </w:r>
          </w:p>
        </w:tc>
        <w:tc>
          <w:tcPr>
            <w:tcW w:w="3171" w:type="dxa"/>
          </w:tcPr>
          <w:p w14:paraId="104DA224" w14:textId="77777777" w:rsidR="008F41F6" w:rsidRPr="006E2BAB" w:rsidRDefault="008F41F6" w:rsidP="00A614AF">
            <w:pPr>
              <w:pStyle w:val="BodyText"/>
              <w:ind w:firstLine="0"/>
              <w:rPr>
                <w:iCs/>
                <w:sz w:val="16"/>
                <w:szCs w:val="16"/>
                <w:lang w:val="en-US"/>
              </w:rPr>
            </w:pPr>
            <w:r>
              <w:rPr>
                <w:iCs/>
                <w:sz w:val="16"/>
                <w:szCs w:val="16"/>
                <w:lang w:val="en-US"/>
              </w:rPr>
              <w:t>% of adults with arthritis prevalence, at state and county level.</w:t>
            </w:r>
          </w:p>
        </w:tc>
      </w:tr>
      <w:tr w:rsidR="008F41F6" w:rsidRPr="006E2BAB" w14:paraId="0990ED48" w14:textId="77777777" w:rsidTr="00A614AF">
        <w:tc>
          <w:tcPr>
            <w:tcW w:w="1852" w:type="dxa"/>
          </w:tcPr>
          <w:p w14:paraId="1DDE2BB9" w14:textId="77777777" w:rsidR="008F41F6" w:rsidRPr="006E2BAB" w:rsidRDefault="008F41F6" w:rsidP="00A614AF">
            <w:pPr>
              <w:pStyle w:val="BodyText"/>
              <w:ind w:firstLine="0"/>
              <w:rPr>
                <w:iCs/>
                <w:sz w:val="16"/>
                <w:szCs w:val="16"/>
                <w:lang w:val="en-US"/>
              </w:rPr>
            </w:pPr>
            <w:r w:rsidRPr="006E2BAB">
              <w:rPr>
                <w:iCs/>
                <w:sz w:val="16"/>
                <w:szCs w:val="16"/>
                <w:lang w:val="en-US"/>
              </w:rPr>
              <w:t>COPD Prevalence</w:t>
            </w:r>
            <w:r>
              <w:rPr>
                <w:iCs/>
                <w:sz w:val="16"/>
                <w:szCs w:val="16"/>
                <w:lang w:val="en-US"/>
              </w:rPr>
              <w:t xml:space="preserve"> (%)</w:t>
            </w:r>
          </w:p>
        </w:tc>
        <w:tc>
          <w:tcPr>
            <w:tcW w:w="3171" w:type="dxa"/>
          </w:tcPr>
          <w:p w14:paraId="6F401C77" w14:textId="77777777" w:rsidR="008F41F6" w:rsidRPr="006E2BAB" w:rsidRDefault="008F41F6" w:rsidP="00A614AF">
            <w:pPr>
              <w:pStyle w:val="BodyText"/>
              <w:ind w:firstLine="0"/>
              <w:rPr>
                <w:iCs/>
                <w:sz w:val="16"/>
                <w:szCs w:val="16"/>
                <w:lang w:val="en-US"/>
              </w:rPr>
            </w:pPr>
            <w:r>
              <w:rPr>
                <w:iCs/>
                <w:sz w:val="16"/>
                <w:szCs w:val="16"/>
                <w:lang w:val="en-US"/>
              </w:rPr>
              <w:t>% of adults suffering from c</w:t>
            </w:r>
            <w:r w:rsidRPr="00076071">
              <w:rPr>
                <w:iCs/>
                <w:sz w:val="16"/>
                <w:szCs w:val="16"/>
                <w:lang w:val="en-US"/>
              </w:rPr>
              <w:t>hronic obstructive pulmonary disease</w:t>
            </w:r>
            <w:r>
              <w:rPr>
                <w:iCs/>
                <w:sz w:val="16"/>
                <w:szCs w:val="16"/>
                <w:lang w:val="en-US"/>
              </w:rPr>
              <w:t>, at state and county level.</w:t>
            </w:r>
          </w:p>
        </w:tc>
      </w:tr>
      <w:tr w:rsidR="008F41F6" w:rsidRPr="006E2BAB" w14:paraId="16FA8802" w14:textId="77777777" w:rsidTr="00A614AF">
        <w:tc>
          <w:tcPr>
            <w:tcW w:w="1852" w:type="dxa"/>
          </w:tcPr>
          <w:p w14:paraId="17EB93F0" w14:textId="77777777" w:rsidR="008F41F6" w:rsidRPr="006E2BAB" w:rsidRDefault="008F41F6" w:rsidP="00A614AF">
            <w:pPr>
              <w:pStyle w:val="BodyText"/>
              <w:ind w:firstLine="0"/>
              <w:rPr>
                <w:iCs/>
                <w:sz w:val="16"/>
                <w:szCs w:val="16"/>
                <w:lang w:val="en-US"/>
              </w:rPr>
            </w:pPr>
            <w:r w:rsidRPr="006E2BAB">
              <w:rPr>
                <w:iCs/>
                <w:sz w:val="16"/>
                <w:szCs w:val="16"/>
                <w:lang w:val="en-US"/>
              </w:rPr>
              <w:t>Drug Abuse/Substance Abuse Prevalence (%)</w:t>
            </w:r>
          </w:p>
        </w:tc>
        <w:tc>
          <w:tcPr>
            <w:tcW w:w="3171" w:type="dxa"/>
          </w:tcPr>
          <w:p w14:paraId="43971B2E" w14:textId="77777777" w:rsidR="008F41F6" w:rsidRPr="006E2BAB" w:rsidRDefault="008F41F6" w:rsidP="00A614AF">
            <w:pPr>
              <w:pStyle w:val="BodyText"/>
              <w:ind w:firstLine="0"/>
              <w:rPr>
                <w:iCs/>
                <w:sz w:val="16"/>
                <w:szCs w:val="16"/>
                <w:lang w:val="en-US"/>
              </w:rPr>
            </w:pPr>
            <w:r>
              <w:rPr>
                <w:iCs/>
                <w:sz w:val="16"/>
                <w:szCs w:val="16"/>
                <w:lang w:val="en-US"/>
              </w:rPr>
              <w:t>% of adults having drug or any other substance abuse, at state and county level.</w:t>
            </w:r>
          </w:p>
        </w:tc>
      </w:tr>
    </w:tbl>
    <w:p w14:paraId="0EEDDF67" w14:textId="77777777" w:rsidR="008F41F6" w:rsidRPr="008F41F6" w:rsidRDefault="008F41F6" w:rsidP="008F41F6"/>
    <w:p w14:paraId="7A87D1BF" w14:textId="77777777" w:rsidR="009303D9" w:rsidRDefault="009303D9" w:rsidP="00532393">
      <w:pPr>
        <w:pStyle w:val="Heading5"/>
        <w:jc w:val="center"/>
      </w:pPr>
      <w:r w:rsidRPr="005B520E">
        <w:t>References</w:t>
      </w:r>
    </w:p>
    <w:p w14:paraId="6C4ED95A" w14:textId="37235CB8" w:rsidR="00184E18" w:rsidRDefault="00184E18" w:rsidP="00184E18">
      <w:pPr>
        <w:pStyle w:val="references"/>
      </w:pPr>
      <w:r>
        <w:t xml:space="preserve">C. Gundersen and H. K. Seligman, “Food insecurity and health outcomes,” </w:t>
      </w:r>
      <w:r>
        <w:rPr>
          <w:rFonts w:ascii="TimesNewRomanPS" w:hAnsi="TimesNewRomanPS"/>
          <w:i/>
          <w:iCs/>
        </w:rPr>
        <w:t>Econ. Voice</w:t>
      </w:r>
      <w:r>
        <w:t xml:space="preserve">, vol. 14, no. 1, 2017, doi: 10.1515/ev-2017-0004. </w:t>
      </w:r>
    </w:p>
    <w:p w14:paraId="27F53D85" w14:textId="62A8D190" w:rsidR="00184E18" w:rsidRDefault="00184E18" w:rsidP="00184E18">
      <w:pPr>
        <w:pStyle w:val="references"/>
      </w:pPr>
      <w:r>
        <w:t xml:space="preserve">J. Beaulac, E. Kristjansson, and S. Cummins, “A systematic review of food deserts, 1966-2007,” </w:t>
      </w:r>
      <w:r>
        <w:rPr>
          <w:rFonts w:ascii="TimesNewRomanPS" w:hAnsi="TimesNewRomanPS"/>
          <w:i/>
          <w:iCs/>
        </w:rPr>
        <w:t>Prev. Chronic Dis.</w:t>
      </w:r>
      <w:r>
        <w:t xml:space="preserve">, vol. 6, no. 3, 2009. </w:t>
      </w:r>
    </w:p>
    <w:p w14:paraId="0645D97B" w14:textId="7B0BBE03" w:rsidR="00184E18" w:rsidRDefault="00184E18" w:rsidP="00184E18">
      <w:pPr>
        <w:pStyle w:val="references"/>
      </w:pPr>
      <w:r>
        <w:t xml:space="preserve">C. Bazerghi, F. H. McKay, and M. Dunn, “The Role of Food Banks in Addressing Food Insecurity: A Systematic Review,” </w:t>
      </w:r>
      <w:r>
        <w:rPr>
          <w:rFonts w:ascii="TimesNewRomanPS" w:hAnsi="TimesNewRomanPS"/>
          <w:i/>
          <w:iCs/>
        </w:rPr>
        <w:t>J. Community Health</w:t>
      </w:r>
      <w:r>
        <w:t xml:space="preserve">, vol. 41, no. 4, pp. 732–740, 2016, doi: 10.1007/s10900-015-0147-5. </w:t>
      </w:r>
    </w:p>
    <w:p w14:paraId="40B50612" w14:textId="0C857B05" w:rsidR="00184E18" w:rsidRDefault="00184E18" w:rsidP="00184E18">
      <w:pPr>
        <w:pStyle w:val="references"/>
      </w:pPr>
      <w:r>
        <w:t xml:space="preserve">P. Baiden, C. A. Labrenz, S. Thrasher, G. Asiedua- Baiden, and B. Harerimana, “Adverse childhood experiences and household food insecurity among children aged 0-5 years in the USA,” </w:t>
      </w:r>
      <w:r>
        <w:rPr>
          <w:rFonts w:ascii="TimesNewRomanPS" w:hAnsi="TimesNewRomanPS"/>
          <w:i/>
          <w:iCs/>
        </w:rPr>
        <w:t>Public Health Nutr.</w:t>
      </w:r>
      <w:r>
        <w:t xml:space="preserve">, vol. 24, no. 8, pp. 2123– 2131, 2021, doi: 10.1017/S1368980020002761. </w:t>
      </w:r>
    </w:p>
    <w:p w14:paraId="7BB6B7D4" w14:textId="77CD2117" w:rsidR="00184E18" w:rsidRDefault="00184E18" w:rsidP="00184E18">
      <w:pPr>
        <w:pStyle w:val="references"/>
      </w:pPr>
      <w:r>
        <w:t xml:space="preserve">M. M. C. Thomas, D. P. Miller, and T. W. Morrissey, “Food insecurity and child health,” </w:t>
      </w:r>
      <w:r>
        <w:rPr>
          <w:rFonts w:ascii="TimesNewRomanPS" w:hAnsi="TimesNewRomanPS"/>
          <w:i/>
          <w:iCs/>
        </w:rPr>
        <w:t>Pediatrics</w:t>
      </w:r>
      <w:r>
        <w:t xml:space="preserve">, vol. 144, no. 4, 2019, doi: 10.1542/peds.2019-0397. </w:t>
      </w:r>
    </w:p>
    <w:p w14:paraId="2BB7314F" w14:textId="6D5DD162" w:rsidR="00184E18" w:rsidRDefault="00184E18" w:rsidP="00184E18">
      <w:pPr>
        <w:pStyle w:val="references"/>
      </w:pPr>
      <w:r>
        <w:t xml:space="preserve">D. B. Jackson, M. Chilton, K. R. Johnson, and M. G. Vaughn, “Adverse Childhood Experiences and Household Food Insecurity: Findings From the 2016 National Survey of Children’s Health,” </w:t>
      </w:r>
      <w:r>
        <w:rPr>
          <w:rFonts w:ascii="TimesNewRomanPS" w:hAnsi="TimesNewRomanPS"/>
          <w:i/>
          <w:iCs/>
        </w:rPr>
        <w:t>Am. J. Prev. Med.</w:t>
      </w:r>
      <w:r>
        <w:t xml:space="preserve">, vol. 57, no. 5, pp. 667– 674, 2019, doi: 10.1016/j.amepre.2019.06.004. </w:t>
      </w:r>
    </w:p>
    <w:p w14:paraId="2DEB6FC1" w14:textId="43369FCD" w:rsidR="00184E18" w:rsidRDefault="00184E18" w:rsidP="00184E18">
      <w:pPr>
        <w:pStyle w:val="references"/>
      </w:pPr>
      <w:r>
        <w:t xml:space="preserve">C. R. Drennen </w:t>
      </w:r>
      <w:r>
        <w:rPr>
          <w:rFonts w:ascii="TimesNewRomanPS" w:hAnsi="TimesNewRomanPS"/>
          <w:i/>
          <w:iCs/>
        </w:rPr>
        <w:t>et al.</w:t>
      </w:r>
      <w:r>
        <w:t xml:space="preserve">, “Food insecurity, health, and development in children under age four years,” </w:t>
      </w:r>
      <w:r>
        <w:rPr>
          <w:rFonts w:ascii="TimesNewRomanPS" w:hAnsi="TimesNewRomanPS"/>
          <w:i/>
          <w:iCs/>
        </w:rPr>
        <w:t>Pediatrics</w:t>
      </w:r>
      <w:r>
        <w:t xml:space="preserve">, vol. 144, no. 4, 2019, doi: 10.1542/peds.2019-0824. </w:t>
      </w:r>
    </w:p>
    <w:p w14:paraId="3C2B009A" w14:textId="219D5769" w:rsidR="00184E18" w:rsidRDefault="00184E18" w:rsidP="00184E18">
      <w:pPr>
        <w:pStyle w:val="references"/>
      </w:pPr>
      <w:r>
        <w:t xml:space="preserve">J. Jih, I. Stijacic-Cenzer, H. K. Seligman, W. J. Boscardin, T. T. Nguyen, and C. S. Ritchie, “Chronic disease burden predicts food insecurity among </w:t>
      </w:r>
      <w:r>
        <w:t xml:space="preserve">older adults,” </w:t>
      </w:r>
      <w:r>
        <w:rPr>
          <w:rFonts w:ascii="TimesNewRomanPS" w:hAnsi="TimesNewRomanPS"/>
          <w:i/>
          <w:iCs/>
        </w:rPr>
        <w:t>Public Health Nutr.</w:t>
      </w:r>
      <w:r>
        <w:t xml:space="preserve">, vol. 21, no. 9, pp. 1737–1742, 2018, doi: 10.1017/S1368980017004062. </w:t>
      </w:r>
    </w:p>
    <w:p w14:paraId="58C2E458" w14:textId="2C2F2C1D" w:rsidR="00184E18" w:rsidRDefault="00184E18" w:rsidP="00184E18">
      <w:pPr>
        <w:pStyle w:val="references"/>
      </w:pPr>
      <w:r>
        <w:t xml:space="preserve">J. A. Jackson, A. Branscum, A. Tang, and E. Smit, “Food insecurity and physical functioning limitations among older U.S. adults,” </w:t>
      </w:r>
      <w:r>
        <w:rPr>
          <w:rFonts w:ascii="TimesNewRomanPS" w:hAnsi="TimesNewRomanPS"/>
          <w:i/>
          <w:iCs/>
        </w:rPr>
        <w:t>Prev. Med. Reports</w:t>
      </w:r>
      <w:r>
        <w:t xml:space="preserve">, vol. 14, no. February, p. 100829, 2019, doi: 10.1016/j.pmedr.2019.100829. </w:t>
      </w:r>
    </w:p>
    <w:p w14:paraId="47BED9FC" w14:textId="28BC2DA0" w:rsidR="00184E18" w:rsidRDefault="00184E18" w:rsidP="00184E18">
      <w:pPr>
        <w:pStyle w:val="references"/>
      </w:pPr>
      <w:r>
        <w:t xml:space="preserve">S. L. Goldberg and B. E. Mawn, “Predictors of Food Insecurity among Older Adults in the United States,” </w:t>
      </w:r>
      <w:r>
        <w:rPr>
          <w:rFonts w:ascii="TimesNewRomanPS" w:hAnsi="TimesNewRomanPS"/>
          <w:i/>
          <w:iCs/>
        </w:rPr>
        <w:t>Public Health Nurs.</w:t>
      </w:r>
      <w:r>
        <w:t xml:space="preserve">, vol. 32, no. 5, pp. 397–407, 2015, doi: 10.1111/phn.12173. </w:t>
      </w:r>
    </w:p>
    <w:p w14:paraId="7FBD8677" w14:textId="562F2BD7" w:rsidR="00184E18" w:rsidRDefault="00184E18" w:rsidP="00184E18">
      <w:pPr>
        <w:pStyle w:val="references"/>
      </w:pPr>
      <w:r>
        <w:t xml:space="preserve">M. Vilar-Compte, P. Gaitán-Rossi, and R. Pérez- Escamilla, “Food insecurity measurement among older adults: Implications for policy and food security governance,” </w:t>
      </w:r>
      <w:r>
        <w:rPr>
          <w:rFonts w:ascii="TimesNewRomanPS" w:hAnsi="TimesNewRomanPS"/>
          <w:i/>
          <w:iCs/>
        </w:rPr>
        <w:t>Glob. Food Sec.</w:t>
      </w:r>
      <w:r>
        <w:t xml:space="preserve">, vol. 14, no. January, pp. 87–95, 2017, doi: 10.1016/j.gfs.2017.05.003. </w:t>
      </w:r>
    </w:p>
    <w:p w14:paraId="24DC6EFB" w14:textId="6AB1B357" w:rsidR="00184E18" w:rsidRDefault="00184E18" w:rsidP="00184E18">
      <w:pPr>
        <w:pStyle w:val="references"/>
      </w:pPr>
      <w:r>
        <w:t xml:space="preserve">J. S. Lee, “Food insecurity and healthcare costs: Research strategies using local, state, and national data sources for older adults,” </w:t>
      </w:r>
      <w:r>
        <w:rPr>
          <w:rFonts w:ascii="TimesNewRomanPS" w:hAnsi="TimesNewRomanPS"/>
          <w:i/>
          <w:iCs/>
        </w:rPr>
        <w:t>Adv. Nutr.</w:t>
      </w:r>
      <w:r>
        <w:t xml:space="preserve">, vol. 4, no. 1, pp. 42–50, 2013, doi: 10.3945/an.112.003194. </w:t>
      </w:r>
    </w:p>
    <w:p w14:paraId="379A4E74" w14:textId="3E3A0173" w:rsidR="00184E18" w:rsidRDefault="00184E18" w:rsidP="00184E18">
      <w:pPr>
        <w:pStyle w:val="references"/>
      </w:pPr>
      <w:r>
        <w:t xml:space="preserve">K. L. Hanson and L. M. Connor, “Food insecurity and dietary quality in US adults and children: A systematic review,” </w:t>
      </w:r>
      <w:r>
        <w:rPr>
          <w:rFonts w:ascii="TimesNewRomanPS" w:hAnsi="TimesNewRomanPS"/>
          <w:i/>
          <w:iCs/>
        </w:rPr>
        <w:t>Am. J. Clin. Nutr.</w:t>
      </w:r>
      <w:r>
        <w:t xml:space="preserve">, vol. 100, no. 2, pp. 684–692, 2014, doi: 10.3945/ajcn.114.084525. </w:t>
      </w:r>
    </w:p>
    <w:p w14:paraId="35C0859E" w14:textId="52566162" w:rsidR="00184E18" w:rsidRDefault="00184E18" w:rsidP="00184E18">
      <w:pPr>
        <w:pStyle w:val="references"/>
      </w:pPr>
      <w:r>
        <w:t xml:space="preserve">R. J. Walker </w:t>
      </w:r>
      <w:r>
        <w:rPr>
          <w:rFonts w:ascii="TimesNewRomanPS" w:hAnsi="TimesNewRomanPS"/>
          <w:i/>
          <w:iCs/>
        </w:rPr>
        <w:t>et al.</w:t>
      </w:r>
      <w:r>
        <w:t xml:space="preserve">, “Assessing the relationship between food insecurity and mortality among U.S. adults,” </w:t>
      </w:r>
      <w:r>
        <w:rPr>
          <w:rFonts w:ascii="TimesNewRomanPS" w:hAnsi="TimesNewRomanPS"/>
          <w:i/>
          <w:iCs/>
        </w:rPr>
        <w:t>Ann. Epidemiol.</w:t>
      </w:r>
      <w:r>
        <w:t xml:space="preserve">, vol. 32, pp. 43–48, 2019, doi: 10.1016/j.annepidem.2019.01.014. </w:t>
      </w:r>
    </w:p>
    <w:p w14:paraId="35D2D132" w14:textId="56E2C6D0" w:rsidR="00184E18" w:rsidRDefault="00184E18" w:rsidP="00184E18">
      <w:pPr>
        <w:pStyle w:val="references"/>
      </w:pPr>
      <w:r>
        <w:t xml:space="preserve">B. R. Hunt, M. R. Benjamins, S. Khan, and J. L. Hirschtick, “Predictors of Food Insecurity in Selected Chicago Community Areas,” </w:t>
      </w:r>
      <w:r>
        <w:rPr>
          <w:rFonts w:ascii="TimesNewRomanPS" w:hAnsi="TimesNewRomanPS"/>
          <w:i/>
          <w:iCs/>
        </w:rPr>
        <w:t>J. Nutr. Educ. Behav.</w:t>
      </w:r>
      <w:r>
        <w:t xml:space="preserve">, vol. 51, no. 3, pp. 287–299, 2019, doi: 10.1016/j.jneb.2018.08.005. </w:t>
      </w:r>
    </w:p>
    <w:p w14:paraId="73B039FC" w14:textId="54F20E13" w:rsidR="00184E18" w:rsidRDefault="00184E18" w:rsidP="00184E18">
      <w:pPr>
        <w:pStyle w:val="references"/>
      </w:pPr>
      <w:r>
        <w:t xml:space="preserve">Christian A. Gregory, Alisha Coleman-Jensen. Food Insecurity, Chronic Disease, and Health Among Working-Age Adults, ERR-235, U.S. Department of Agriculture, Economic Research Service, July 2017. </w:t>
      </w:r>
      <w:r>
        <w:rPr>
          <w:color w:val="0260BF"/>
        </w:rPr>
        <w:t xml:space="preserve">www.ers.usda.gov/publications </w:t>
      </w:r>
    </w:p>
    <w:p w14:paraId="4AAD7C0C" w14:textId="6512DA0C" w:rsidR="00184E18" w:rsidRDefault="00184E18" w:rsidP="00184E18">
      <w:pPr>
        <w:pStyle w:val="references"/>
      </w:pPr>
      <w:r>
        <w:t xml:space="preserve">https://www.feedingamerica.org/research/hunger- in-america/datasets </w:t>
      </w:r>
    </w:p>
    <w:p w14:paraId="7C7CA9CE" w14:textId="1F43F4D3" w:rsidR="00184E18" w:rsidRDefault="00184E18" w:rsidP="00184E18">
      <w:pPr>
        <w:pStyle w:val="references"/>
      </w:pPr>
      <w:r>
        <w:t xml:space="preserve">https://www.childhealthdata.org/learn-about-the- nsch/NSCH </w:t>
      </w:r>
    </w:p>
    <w:p w14:paraId="558B2EAF" w14:textId="715A3BA5" w:rsidR="00184E18" w:rsidRDefault="00184E18" w:rsidP="00184E18">
      <w:pPr>
        <w:pStyle w:val="references"/>
      </w:pPr>
      <w:r>
        <w:t xml:space="preserve">https://www.census.gov/data/datasets/time-series/demo/cps/cps-supp_cps-repwgt/cps-food-security.html </w:t>
      </w:r>
    </w:p>
    <w:p w14:paraId="15ED4BE0" w14:textId="4254CC86" w:rsidR="00FD0281" w:rsidRPr="006E2975" w:rsidRDefault="00000000" w:rsidP="00FD0281">
      <w:pPr>
        <w:pStyle w:val="references"/>
      </w:pPr>
      <w:hyperlink r:id="rId14" w:history="1">
        <w:r w:rsidR="006E2975" w:rsidRPr="00022147">
          <w:rPr>
            <w:rStyle w:val="Hyperlink"/>
          </w:rPr>
          <w:t>https://map.feedingamerica.org/</w:t>
        </w:r>
      </w:hyperlink>
    </w:p>
    <w:p w14:paraId="028037A2" w14:textId="581FE86B" w:rsidR="00184E18" w:rsidRDefault="00184E18" w:rsidP="006E2975">
      <w:pPr>
        <w:pStyle w:val="references"/>
      </w:pPr>
      <w:r>
        <w:t xml:space="preserve">https://healthdata.gov/dataset/U-S-Chronic-Disease-Indicators-CDI-/67sp-6x8j/data </w:t>
      </w:r>
    </w:p>
    <w:p w14:paraId="0BE2E9CB" w14:textId="4C4BE627" w:rsidR="00184E18" w:rsidRDefault="00184E18" w:rsidP="00184E18">
      <w:pPr>
        <w:pStyle w:val="references"/>
      </w:pPr>
      <w:r>
        <w:t xml:space="preserve">https://catalog.data.gov/dataset/u-s-chronic-disease- indicators-cdi </w:t>
      </w:r>
    </w:p>
    <w:p w14:paraId="1B2FBD1C" w14:textId="0A8FA664" w:rsidR="00184E18" w:rsidRDefault="00184E18" w:rsidP="00184E18">
      <w:pPr>
        <w:pStyle w:val="references"/>
      </w:pPr>
      <w:r>
        <w:t xml:space="preserve">https://www.cdc.gov/chronicdisease/data/indicators.h tm </w:t>
      </w:r>
    </w:p>
    <w:p w14:paraId="117693A9" w14:textId="7DE6CF24" w:rsidR="00184E18" w:rsidRDefault="00000000" w:rsidP="00184E18">
      <w:pPr>
        <w:pStyle w:val="references"/>
      </w:pPr>
      <w:hyperlink r:id="rId15" w:history="1">
        <w:r w:rsidR="006C6B10" w:rsidRPr="00022147">
          <w:rPr>
            <w:rStyle w:val="Hyperlink"/>
          </w:rPr>
          <w:t>https://www.datafiles.samhsa.gov/</w:t>
        </w:r>
      </w:hyperlink>
      <w:r w:rsidR="00184E18">
        <w:t xml:space="preserve"> </w:t>
      </w:r>
    </w:p>
    <w:p w14:paraId="434770CD" w14:textId="2B48DC78" w:rsidR="007C7AB5" w:rsidRDefault="007C7AB5" w:rsidP="007C7AB5">
      <w:pPr>
        <w:pStyle w:val="references"/>
      </w:pPr>
      <w:r>
        <w:t xml:space="preserve">https://www.feedingamerica.org/research/map-the-meal-gap/how-we-got-the-map-data </w:t>
      </w:r>
    </w:p>
    <w:p w14:paraId="26BF34E7" w14:textId="312066C9" w:rsidR="007C7AB5" w:rsidRDefault="007C7AB5" w:rsidP="007C7AB5">
      <w:pPr>
        <w:pStyle w:val="references"/>
      </w:pPr>
      <w:r>
        <w:t xml:space="preserve">https://www.cms.gov/Research-Statistics-Data-and- Systems/Statistics-Trends-and-Reports/Chronic- Conditions/CC_Main </w:t>
      </w:r>
    </w:p>
    <w:p w14:paraId="105D3FE3" w14:textId="7BF8FEE5" w:rsidR="007C7AB5" w:rsidRDefault="007C7AB5" w:rsidP="007C7AB5">
      <w:pPr>
        <w:pStyle w:val="references"/>
      </w:pPr>
      <w:r>
        <w:t xml:space="preserve">https://www.childhealthdata.org/learn-about-the- nsch/nsch-codebooks </w:t>
      </w:r>
    </w:p>
    <w:p w14:paraId="6468A341" w14:textId="54D90CAA" w:rsidR="007C7AB5" w:rsidRDefault="007C7AB5" w:rsidP="007C7AB5">
      <w:pPr>
        <w:pStyle w:val="references"/>
      </w:pPr>
      <w:r>
        <w:t xml:space="preserve">https://www.childhealthdata.org/learn-about-the- nsch/NSCH </w:t>
      </w:r>
    </w:p>
    <w:p w14:paraId="74192C88" w14:textId="57B7DD36" w:rsidR="006C6B10" w:rsidRDefault="007C7AB5" w:rsidP="007C7AB5">
      <w:pPr>
        <w:pStyle w:val="references"/>
      </w:pPr>
      <w:r>
        <w:t xml:space="preserve">https://www.healthcare.gov/glossary/federal- poverty-level- fpl/#:~:text=A%20measure%20of%20income%20issued,and %20Medicaid%20and%20CHIP%20coverage </w:t>
      </w:r>
    </w:p>
    <w:p w14:paraId="345570EA" w14:textId="4F234E0A" w:rsidR="009303D9" w:rsidRPr="00F96569" w:rsidRDefault="009303D9" w:rsidP="006E2975">
      <w:pPr>
        <w:pStyle w:val="references"/>
        <w:ind w:left="354" w:hanging="354"/>
        <w:sectPr w:rsidR="009303D9" w:rsidRPr="00F96569" w:rsidSect="00C919A4">
          <w:type w:val="continuous"/>
          <w:pgSz w:w="12240" w:h="15840" w:code="1"/>
          <w:pgMar w:top="1080" w:right="907" w:bottom="1440" w:left="907" w:header="720" w:footer="720" w:gutter="0"/>
          <w:cols w:num="2" w:space="360"/>
          <w:docGrid w:linePitch="360"/>
        </w:sectPr>
      </w:pPr>
    </w:p>
    <w:p w14:paraId="4CD9806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27A9" w14:textId="77777777" w:rsidR="00554F5D" w:rsidRDefault="00554F5D" w:rsidP="001A3B3D">
      <w:r>
        <w:separator/>
      </w:r>
    </w:p>
  </w:endnote>
  <w:endnote w:type="continuationSeparator" w:id="0">
    <w:p w14:paraId="15791F47" w14:textId="77777777" w:rsidR="00554F5D" w:rsidRDefault="00554F5D" w:rsidP="001A3B3D">
      <w:r>
        <w:continuationSeparator/>
      </w:r>
    </w:p>
  </w:endnote>
  <w:endnote w:type="continuationNotice" w:id="1">
    <w:p w14:paraId="55385B0D" w14:textId="77777777" w:rsidR="00554F5D" w:rsidRDefault="00554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64E9"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A900" w14:textId="77777777" w:rsidR="00554F5D" w:rsidRDefault="00554F5D" w:rsidP="001A3B3D">
      <w:r>
        <w:separator/>
      </w:r>
    </w:p>
  </w:footnote>
  <w:footnote w:type="continuationSeparator" w:id="0">
    <w:p w14:paraId="7588CCFC" w14:textId="77777777" w:rsidR="00554F5D" w:rsidRDefault="00554F5D" w:rsidP="001A3B3D">
      <w:r>
        <w:continuationSeparator/>
      </w:r>
    </w:p>
  </w:footnote>
  <w:footnote w:type="continuationNotice" w:id="1">
    <w:p w14:paraId="0117B47F" w14:textId="77777777" w:rsidR="00554F5D" w:rsidRDefault="00554F5D"/>
  </w:footnote>
</w:footnotes>
</file>

<file path=word/intelligence2.xml><?xml version="1.0" encoding="utf-8"?>
<int2:intelligence xmlns:int2="http://schemas.microsoft.com/office/intelligence/2020/intelligence" xmlns:oel="http://schemas.microsoft.com/office/2019/extlst">
  <int2:observations>
    <int2:textHash int2:hashCode="uvL/XWMUeYJY3H" int2:id="Ch8UoU4n">
      <int2:state int2:value="Rejected" int2:type="LegacyProofing"/>
    </int2:textHash>
    <int2:bookmark int2:bookmarkName="_Int_Otfy4x4s" int2:invalidationBookmarkName="" int2:hashCode="wXE3dxBmxLfLNl" int2:id="Ip8TZib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4D71BF"/>
    <w:multiLevelType w:val="hybridMultilevel"/>
    <w:tmpl w:val="F690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1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D7E59DB"/>
    <w:multiLevelType w:val="hybridMultilevel"/>
    <w:tmpl w:val="F3D4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575281">
    <w:abstractNumId w:val="15"/>
  </w:num>
  <w:num w:numId="2" w16cid:durableId="310865579">
    <w:abstractNumId w:val="20"/>
  </w:num>
  <w:num w:numId="3" w16cid:durableId="626350495">
    <w:abstractNumId w:val="14"/>
  </w:num>
  <w:num w:numId="4" w16cid:durableId="1873834936">
    <w:abstractNumId w:val="17"/>
  </w:num>
  <w:num w:numId="5" w16cid:durableId="340665063">
    <w:abstractNumId w:val="17"/>
  </w:num>
  <w:num w:numId="6" w16cid:durableId="1789354378">
    <w:abstractNumId w:val="17"/>
  </w:num>
  <w:num w:numId="7" w16cid:durableId="1267542529">
    <w:abstractNumId w:val="17"/>
  </w:num>
  <w:num w:numId="8" w16cid:durableId="2002852875">
    <w:abstractNumId w:val="19"/>
  </w:num>
  <w:num w:numId="9" w16cid:durableId="1442142110">
    <w:abstractNumId w:val="21"/>
  </w:num>
  <w:num w:numId="10" w16cid:durableId="105084180">
    <w:abstractNumId w:val="16"/>
  </w:num>
  <w:num w:numId="11" w16cid:durableId="1713580784">
    <w:abstractNumId w:val="13"/>
  </w:num>
  <w:num w:numId="12" w16cid:durableId="2089309164">
    <w:abstractNumId w:val="12"/>
  </w:num>
  <w:num w:numId="13" w16cid:durableId="965965261">
    <w:abstractNumId w:val="0"/>
  </w:num>
  <w:num w:numId="14" w16cid:durableId="15231102">
    <w:abstractNumId w:val="10"/>
  </w:num>
  <w:num w:numId="15" w16cid:durableId="35854364">
    <w:abstractNumId w:val="8"/>
  </w:num>
  <w:num w:numId="16" w16cid:durableId="1477526026">
    <w:abstractNumId w:val="7"/>
  </w:num>
  <w:num w:numId="17" w16cid:durableId="539587485">
    <w:abstractNumId w:val="6"/>
  </w:num>
  <w:num w:numId="18" w16cid:durableId="737824257">
    <w:abstractNumId w:val="5"/>
  </w:num>
  <w:num w:numId="19" w16cid:durableId="1422070241">
    <w:abstractNumId w:val="9"/>
  </w:num>
  <w:num w:numId="20" w16cid:durableId="1313757222">
    <w:abstractNumId w:val="4"/>
  </w:num>
  <w:num w:numId="21" w16cid:durableId="1039285924">
    <w:abstractNumId w:val="3"/>
  </w:num>
  <w:num w:numId="22" w16cid:durableId="112603475">
    <w:abstractNumId w:val="2"/>
  </w:num>
  <w:num w:numId="23" w16cid:durableId="890311251">
    <w:abstractNumId w:val="1"/>
  </w:num>
  <w:num w:numId="24" w16cid:durableId="1440955281">
    <w:abstractNumId w:val="18"/>
  </w:num>
  <w:num w:numId="25" w16cid:durableId="1830174225">
    <w:abstractNumId w:val="21"/>
    <w:lvlOverride w:ilvl="0">
      <w:startOverride w:val="1"/>
    </w:lvlOverride>
  </w:num>
  <w:num w:numId="26" w16cid:durableId="492338842">
    <w:abstractNumId w:val="11"/>
  </w:num>
  <w:num w:numId="27" w16cid:durableId="5915491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0NwFSFmZG5paWBko6SsGpxcWZ+XkgBUa1ACis6MMsAAAA"/>
  </w:docVars>
  <w:rsids>
    <w:rsidRoot w:val="009303D9"/>
    <w:rsid w:val="00011B6F"/>
    <w:rsid w:val="00022203"/>
    <w:rsid w:val="00033AC3"/>
    <w:rsid w:val="0004781E"/>
    <w:rsid w:val="0008758A"/>
    <w:rsid w:val="0009445C"/>
    <w:rsid w:val="000A1017"/>
    <w:rsid w:val="000B00DE"/>
    <w:rsid w:val="000B0C5A"/>
    <w:rsid w:val="000B430E"/>
    <w:rsid w:val="000C1E68"/>
    <w:rsid w:val="000C4ED6"/>
    <w:rsid w:val="000C6BE9"/>
    <w:rsid w:val="000C7DE2"/>
    <w:rsid w:val="000E3BFE"/>
    <w:rsid w:val="000F5957"/>
    <w:rsid w:val="00110B56"/>
    <w:rsid w:val="00115C41"/>
    <w:rsid w:val="00122CFA"/>
    <w:rsid w:val="0015079E"/>
    <w:rsid w:val="0015207B"/>
    <w:rsid w:val="0016021F"/>
    <w:rsid w:val="00166ED1"/>
    <w:rsid w:val="00170A2E"/>
    <w:rsid w:val="00181958"/>
    <w:rsid w:val="00184E18"/>
    <w:rsid w:val="001A2EFD"/>
    <w:rsid w:val="001A3B3D"/>
    <w:rsid w:val="001A42EA"/>
    <w:rsid w:val="001B404E"/>
    <w:rsid w:val="001B4569"/>
    <w:rsid w:val="001B67DC"/>
    <w:rsid w:val="001C35C6"/>
    <w:rsid w:val="001C48D9"/>
    <w:rsid w:val="001D24D4"/>
    <w:rsid w:val="001D54B5"/>
    <w:rsid w:val="001D7BCF"/>
    <w:rsid w:val="001E1A9E"/>
    <w:rsid w:val="0021688C"/>
    <w:rsid w:val="002254A9"/>
    <w:rsid w:val="00233D97"/>
    <w:rsid w:val="00234350"/>
    <w:rsid w:val="002640EE"/>
    <w:rsid w:val="00282F77"/>
    <w:rsid w:val="00284A23"/>
    <w:rsid w:val="002850E3"/>
    <w:rsid w:val="00290F19"/>
    <w:rsid w:val="0029471D"/>
    <w:rsid w:val="002B6543"/>
    <w:rsid w:val="002B6CDD"/>
    <w:rsid w:val="002C1AA5"/>
    <w:rsid w:val="002D0B2A"/>
    <w:rsid w:val="002D668A"/>
    <w:rsid w:val="002E3D09"/>
    <w:rsid w:val="00300CEC"/>
    <w:rsid w:val="00313CFB"/>
    <w:rsid w:val="00315CE5"/>
    <w:rsid w:val="0031747F"/>
    <w:rsid w:val="00346372"/>
    <w:rsid w:val="00354FCF"/>
    <w:rsid w:val="0037535A"/>
    <w:rsid w:val="00382F8B"/>
    <w:rsid w:val="003A19E2"/>
    <w:rsid w:val="003A5B30"/>
    <w:rsid w:val="003C7D98"/>
    <w:rsid w:val="003E141D"/>
    <w:rsid w:val="003E42DA"/>
    <w:rsid w:val="003E5BAE"/>
    <w:rsid w:val="00406523"/>
    <w:rsid w:val="00421EC6"/>
    <w:rsid w:val="00422F56"/>
    <w:rsid w:val="0042410F"/>
    <w:rsid w:val="00426354"/>
    <w:rsid w:val="004325FB"/>
    <w:rsid w:val="004373A3"/>
    <w:rsid w:val="00440766"/>
    <w:rsid w:val="004432BA"/>
    <w:rsid w:val="0044407E"/>
    <w:rsid w:val="004A0AD2"/>
    <w:rsid w:val="004A6E18"/>
    <w:rsid w:val="004B4C59"/>
    <w:rsid w:val="004D72B5"/>
    <w:rsid w:val="004F1DA1"/>
    <w:rsid w:val="00511287"/>
    <w:rsid w:val="005264B8"/>
    <w:rsid w:val="00532393"/>
    <w:rsid w:val="00547E73"/>
    <w:rsid w:val="00551B7F"/>
    <w:rsid w:val="00554F5D"/>
    <w:rsid w:val="0055749C"/>
    <w:rsid w:val="0056610F"/>
    <w:rsid w:val="005702A9"/>
    <w:rsid w:val="00574391"/>
    <w:rsid w:val="00574399"/>
    <w:rsid w:val="00575BCA"/>
    <w:rsid w:val="0057A71D"/>
    <w:rsid w:val="00597846"/>
    <w:rsid w:val="005A20FB"/>
    <w:rsid w:val="005B0344"/>
    <w:rsid w:val="005B520E"/>
    <w:rsid w:val="005C7964"/>
    <w:rsid w:val="005D3FB2"/>
    <w:rsid w:val="005D4F53"/>
    <w:rsid w:val="005E2800"/>
    <w:rsid w:val="00614A8C"/>
    <w:rsid w:val="00616B40"/>
    <w:rsid w:val="00617AF1"/>
    <w:rsid w:val="0062683C"/>
    <w:rsid w:val="006347CF"/>
    <w:rsid w:val="0064070E"/>
    <w:rsid w:val="006415FB"/>
    <w:rsid w:val="00645D22"/>
    <w:rsid w:val="00651A08"/>
    <w:rsid w:val="00652353"/>
    <w:rsid w:val="00654204"/>
    <w:rsid w:val="006655D6"/>
    <w:rsid w:val="00670434"/>
    <w:rsid w:val="00682B01"/>
    <w:rsid w:val="00691834"/>
    <w:rsid w:val="006942D7"/>
    <w:rsid w:val="006A2CF6"/>
    <w:rsid w:val="006B0A8E"/>
    <w:rsid w:val="006B2A2D"/>
    <w:rsid w:val="006B6B66"/>
    <w:rsid w:val="006C083A"/>
    <w:rsid w:val="006C66E6"/>
    <w:rsid w:val="006C6B10"/>
    <w:rsid w:val="006D0964"/>
    <w:rsid w:val="006D156D"/>
    <w:rsid w:val="006D4AAD"/>
    <w:rsid w:val="006E2975"/>
    <w:rsid w:val="006F6D3D"/>
    <w:rsid w:val="00704134"/>
    <w:rsid w:val="00715BEA"/>
    <w:rsid w:val="00740EEA"/>
    <w:rsid w:val="00762990"/>
    <w:rsid w:val="007749FD"/>
    <w:rsid w:val="00794804"/>
    <w:rsid w:val="007B33F1"/>
    <w:rsid w:val="007C0308"/>
    <w:rsid w:val="007C2FF2"/>
    <w:rsid w:val="007C73A7"/>
    <w:rsid w:val="007C7995"/>
    <w:rsid w:val="007C7AB5"/>
    <w:rsid w:val="007D305E"/>
    <w:rsid w:val="007D6232"/>
    <w:rsid w:val="007F1123"/>
    <w:rsid w:val="007F1F94"/>
    <w:rsid w:val="007F1F99"/>
    <w:rsid w:val="007F4B2D"/>
    <w:rsid w:val="007F768F"/>
    <w:rsid w:val="0080791D"/>
    <w:rsid w:val="0081089B"/>
    <w:rsid w:val="00816053"/>
    <w:rsid w:val="00817BF3"/>
    <w:rsid w:val="00826D65"/>
    <w:rsid w:val="00840FCC"/>
    <w:rsid w:val="00855144"/>
    <w:rsid w:val="00855E7C"/>
    <w:rsid w:val="00873603"/>
    <w:rsid w:val="008A08BF"/>
    <w:rsid w:val="008A2C7D"/>
    <w:rsid w:val="008A51B2"/>
    <w:rsid w:val="008C4B23"/>
    <w:rsid w:val="008C5FBE"/>
    <w:rsid w:val="008C7EEE"/>
    <w:rsid w:val="008F0529"/>
    <w:rsid w:val="008F41F6"/>
    <w:rsid w:val="008F6E2C"/>
    <w:rsid w:val="00914C82"/>
    <w:rsid w:val="00917B86"/>
    <w:rsid w:val="00925733"/>
    <w:rsid w:val="009303D9"/>
    <w:rsid w:val="00933C64"/>
    <w:rsid w:val="00940727"/>
    <w:rsid w:val="00944D15"/>
    <w:rsid w:val="009455D2"/>
    <w:rsid w:val="009511FF"/>
    <w:rsid w:val="00972203"/>
    <w:rsid w:val="00983798"/>
    <w:rsid w:val="009911A6"/>
    <w:rsid w:val="009B2EB8"/>
    <w:rsid w:val="009D4F4E"/>
    <w:rsid w:val="009D7847"/>
    <w:rsid w:val="00A059B3"/>
    <w:rsid w:val="00A4330D"/>
    <w:rsid w:val="00A52982"/>
    <w:rsid w:val="00A75E37"/>
    <w:rsid w:val="00A82123"/>
    <w:rsid w:val="00A83751"/>
    <w:rsid w:val="00A90080"/>
    <w:rsid w:val="00A907A1"/>
    <w:rsid w:val="00AB7EF5"/>
    <w:rsid w:val="00AE0AE2"/>
    <w:rsid w:val="00AE3409"/>
    <w:rsid w:val="00AF14AB"/>
    <w:rsid w:val="00B0332F"/>
    <w:rsid w:val="00B116BB"/>
    <w:rsid w:val="00B11A60"/>
    <w:rsid w:val="00B1422A"/>
    <w:rsid w:val="00B1483F"/>
    <w:rsid w:val="00B22613"/>
    <w:rsid w:val="00B36DD7"/>
    <w:rsid w:val="00B477E4"/>
    <w:rsid w:val="00B62925"/>
    <w:rsid w:val="00B924CA"/>
    <w:rsid w:val="00BA1025"/>
    <w:rsid w:val="00BA5051"/>
    <w:rsid w:val="00BA523D"/>
    <w:rsid w:val="00BA63AD"/>
    <w:rsid w:val="00BC3420"/>
    <w:rsid w:val="00BD63D4"/>
    <w:rsid w:val="00BE7D3C"/>
    <w:rsid w:val="00BF5FF6"/>
    <w:rsid w:val="00C0207F"/>
    <w:rsid w:val="00C1076B"/>
    <w:rsid w:val="00C16117"/>
    <w:rsid w:val="00C232E1"/>
    <w:rsid w:val="00C3075A"/>
    <w:rsid w:val="00C522C9"/>
    <w:rsid w:val="00C569E7"/>
    <w:rsid w:val="00C57C5B"/>
    <w:rsid w:val="00C76FFC"/>
    <w:rsid w:val="00C865C0"/>
    <w:rsid w:val="00C8771C"/>
    <w:rsid w:val="00C919A4"/>
    <w:rsid w:val="00CA4392"/>
    <w:rsid w:val="00CB15A3"/>
    <w:rsid w:val="00CB31F4"/>
    <w:rsid w:val="00CC393F"/>
    <w:rsid w:val="00CD09F0"/>
    <w:rsid w:val="00CF0B8B"/>
    <w:rsid w:val="00CF246D"/>
    <w:rsid w:val="00D13749"/>
    <w:rsid w:val="00D2176E"/>
    <w:rsid w:val="00D260CD"/>
    <w:rsid w:val="00D33374"/>
    <w:rsid w:val="00D347DA"/>
    <w:rsid w:val="00D40133"/>
    <w:rsid w:val="00D60C4A"/>
    <w:rsid w:val="00D632BE"/>
    <w:rsid w:val="00D72D06"/>
    <w:rsid w:val="00D7522C"/>
    <w:rsid w:val="00D7536F"/>
    <w:rsid w:val="00D76668"/>
    <w:rsid w:val="00D80C1E"/>
    <w:rsid w:val="00D83AC4"/>
    <w:rsid w:val="00D902D7"/>
    <w:rsid w:val="00DB18D3"/>
    <w:rsid w:val="00DB216C"/>
    <w:rsid w:val="00DB4FD3"/>
    <w:rsid w:val="00E00783"/>
    <w:rsid w:val="00E10939"/>
    <w:rsid w:val="00E24F53"/>
    <w:rsid w:val="00E27B6D"/>
    <w:rsid w:val="00E32C7C"/>
    <w:rsid w:val="00E403ED"/>
    <w:rsid w:val="00E53D37"/>
    <w:rsid w:val="00E61E12"/>
    <w:rsid w:val="00E71A2E"/>
    <w:rsid w:val="00E7596C"/>
    <w:rsid w:val="00E86AEC"/>
    <w:rsid w:val="00E878F2"/>
    <w:rsid w:val="00EB718B"/>
    <w:rsid w:val="00ED0149"/>
    <w:rsid w:val="00EF7DE3"/>
    <w:rsid w:val="00F01761"/>
    <w:rsid w:val="00F03103"/>
    <w:rsid w:val="00F16D0E"/>
    <w:rsid w:val="00F20A6B"/>
    <w:rsid w:val="00F26990"/>
    <w:rsid w:val="00F271DE"/>
    <w:rsid w:val="00F2744A"/>
    <w:rsid w:val="00F627DA"/>
    <w:rsid w:val="00F70058"/>
    <w:rsid w:val="00F725B0"/>
    <w:rsid w:val="00F7288F"/>
    <w:rsid w:val="00F82C64"/>
    <w:rsid w:val="00F847A6"/>
    <w:rsid w:val="00F9004C"/>
    <w:rsid w:val="00F9056F"/>
    <w:rsid w:val="00F9441B"/>
    <w:rsid w:val="00F96569"/>
    <w:rsid w:val="00FA214C"/>
    <w:rsid w:val="00FA4C32"/>
    <w:rsid w:val="00FA5035"/>
    <w:rsid w:val="00FC3EAF"/>
    <w:rsid w:val="00FD0281"/>
    <w:rsid w:val="00FD1766"/>
    <w:rsid w:val="00FE7114"/>
    <w:rsid w:val="01F3777E"/>
    <w:rsid w:val="032D5F55"/>
    <w:rsid w:val="032FBFD9"/>
    <w:rsid w:val="04531E51"/>
    <w:rsid w:val="05A9DEF7"/>
    <w:rsid w:val="05B87BAF"/>
    <w:rsid w:val="05E5C246"/>
    <w:rsid w:val="078192A7"/>
    <w:rsid w:val="091D6308"/>
    <w:rsid w:val="0E33CCDF"/>
    <w:rsid w:val="10C93AC5"/>
    <w:rsid w:val="11ED9DF1"/>
    <w:rsid w:val="11F7E31E"/>
    <w:rsid w:val="13280432"/>
    <w:rsid w:val="13A56BA9"/>
    <w:rsid w:val="1507504B"/>
    <w:rsid w:val="165B360E"/>
    <w:rsid w:val="1B46FF37"/>
    <w:rsid w:val="1E241C4C"/>
    <w:rsid w:val="1F7B2A4D"/>
    <w:rsid w:val="2111E474"/>
    <w:rsid w:val="219E802D"/>
    <w:rsid w:val="21D47D13"/>
    <w:rsid w:val="22B2CB0F"/>
    <w:rsid w:val="22CEE7E2"/>
    <w:rsid w:val="22FA59A8"/>
    <w:rsid w:val="2325C0F3"/>
    <w:rsid w:val="248D2D07"/>
    <w:rsid w:val="2500ABB8"/>
    <w:rsid w:val="25F58879"/>
    <w:rsid w:val="2631FA6A"/>
    <w:rsid w:val="2789BC26"/>
    <w:rsid w:val="27CDCACB"/>
    <w:rsid w:val="286F4C74"/>
    <w:rsid w:val="294D9DD5"/>
    <w:rsid w:val="2A498024"/>
    <w:rsid w:val="2A660E36"/>
    <w:rsid w:val="2AC092C3"/>
    <w:rsid w:val="2CFD3A1D"/>
    <w:rsid w:val="3057C965"/>
    <w:rsid w:val="307A5E59"/>
    <w:rsid w:val="317C9A97"/>
    <w:rsid w:val="31F6794E"/>
    <w:rsid w:val="33186AF8"/>
    <w:rsid w:val="34B43B59"/>
    <w:rsid w:val="35D75B57"/>
    <w:rsid w:val="35EB2043"/>
    <w:rsid w:val="36DB2A31"/>
    <w:rsid w:val="370A1EAF"/>
    <w:rsid w:val="38B15CAD"/>
    <w:rsid w:val="3DE26D3C"/>
    <w:rsid w:val="3F17F311"/>
    <w:rsid w:val="3FD56141"/>
    <w:rsid w:val="4026EAB0"/>
    <w:rsid w:val="42656B71"/>
    <w:rsid w:val="457E8975"/>
    <w:rsid w:val="4707B12D"/>
    <w:rsid w:val="489AB14D"/>
    <w:rsid w:val="4910D8CA"/>
    <w:rsid w:val="4AD02250"/>
    <w:rsid w:val="4BB0EBE7"/>
    <w:rsid w:val="4D60E8F4"/>
    <w:rsid w:val="4E07C312"/>
    <w:rsid w:val="506EFBFD"/>
    <w:rsid w:val="518CFC18"/>
    <w:rsid w:val="54207590"/>
    <w:rsid w:val="56463BFA"/>
    <w:rsid w:val="571A7AF8"/>
    <w:rsid w:val="595EEA14"/>
    <w:rsid w:val="59D205B7"/>
    <w:rsid w:val="5A756649"/>
    <w:rsid w:val="5C01AD86"/>
    <w:rsid w:val="5CCBE0B0"/>
    <w:rsid w:val="5DAD070B"/>
    <w:rsid w:val="60FF5212"/>
    <w:rsid w:val="639DCC31"/>
    <w:rsid w:val="65C1C408"/>
    <w:rsid w:val="665BC686"/>
    <w:rsid w:val="68189FCF"/>
    <w:rsid w:val="68E24C79"/>
    <w:rsid w:val="6A7089D6"/>
    <w:rsid w:val="6B069CA3"/>
    <w:rsid w:val="6CA26D04"/>
    <w:rsid w:val="6CCBE94E"/>
    <w:rsid w:val="7117493C"/>
    <w:rsid w:val="7175DE27"/>
    <w:rsid w:val="71BC2284"/>
    <w:rsid w:val="72542CE4"/>
    <w:rsid w:val="7329A7F5"/>
    <w:rsid w:val="740936BF"/>
    <w:rsid w:val="7459C2E3"/>
    <w:rsid w:val="790DCB02"/>
    <w:rsid w:val="7A0C777B"/>
    <w:rsid w:val="7A9B2218"/>
    <w:rsid w:val="7B0DC0EB"/>
    <w:rsid w:val="7D768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438FA11B-80A2-462C-8857-52D5A7FF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B30"/>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3E141D"/>
    <w:pPr>
      <w:autoSpaceDE w:val="0"/>
      <w:autoSpaceDN w:val="0"/>
      <w:adjustRightInd w:val="0"/>
    </w:pPr>
    <w:rPr>
      <w:color w:val="000000"/>
      <w:sz w:val="24"/>
      <w:szCs w:val="24"/>
    </w:rPr>
  </w:style>
  <w:style w:type="paragraph" w:styleId="NormalWeb">
    <w:name w:val="Normal (Web)"/>
    <w:basedOn w:val="Normal"/>
    <w:uiPriority w:val="99"/>
    <w:unhideWhenUsed/>
    <w:rsid w:val="00184E18"/>
    <w:pPr>
      <w:spacing w:before="100" w:beforeAutospacing="1" w:after="100" w:afterAutospacing="1"/>
    </w:pPr>
    <w:rPr>
      <w:rFonts w:eastAsia="Times New Roman"/>
      <w:sz w:val="24"/>
      <w:szCs w:val="24"/>
    </w:rPr>
  </w:style>
  <w:style w:type="character" w:styleId="Hyperlink">
    <w:name w:val="Hyperlink"/>
    <w:basedOn w:val="DefaultParagraphFont"/>
    <w:rsid w:val="006E2975"/>
    <w:rPr>
      <w:color w:val="0563C1" w:themeColor="hyperlink"/>
      <w:u w:val="single"/>
    </w:rPr>
  </w:style>
  <w:style w:type="character" w:styleId="UnresolvedMention">
    <w:name w:val="Unresolved Mention"/>
    <w:basedOn w:val="DefaultParagraphFont"/>
    <w:uiPriority w:val="99"/>
    <w:semiHidden/>
    <w:unhideWhenUsed/>
    <w:rsid w:val="006E2975"/>
    <w:rPr>
      <w:color w:val="605E5C"/>
      <w:shd w:val="clear" w:color="auto" w:fill="E1DFDD"/>
    </w:rPr>
  </w:style>
  <w:style w:type="character" w:styleId="FollowedHyperlink">
    <w:name w:val="FollowedHyperlink"/>
    <w:basedOn w:val="DefaultParagraphFont"/>
    <w:rsid w:val="00FD0281"/>
    <w:rPr>
      <w:color w:val="954F72" w:themeColor="followedHyperlink"/>
      <w:u w:val="single"/>
    </w:rPr>
  </w:style>
  <w:style w:type="character" w:styleId="PlaceholderText">
    <w:name w:val="Placeholder Text"/>
    <w:basedOn w:val="DefaultParagraphFont"/>
    <w:uiPriority w:val="99"/>
    <w:semiHidden/>
    <w:rsid w:val="006C083A"/>
    <w:rPr>
      <w:color w:val="808080"/>
    </w:rPr>
  </w:style>
  <w:style w:type="table" w:styleId="TableGrid">
    <w:name w:val="Table Grid"/>
    <w:basedOn w:val="TableNormal"/>
    <w:rsid w:val="00CF0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1346">
      <w:bodyDiv w:val="1"/>
      <w:marLeft w:val="0"/>
      <w:marRight w:val="0"/>
      <w:marTop w:val="0"/>
      <w:marBottom w:val="0"/>
      <w:divBdr>
        <w:top w:val="none" w:sz="0" w:space="0" w:color="auto"/>
        <w:left w:val="none" w:sz="0" w:space="0" w:color="auto"/>
        <w:bottom w:val="none" w:sz="0" w:space="0" w:color="auto"/>
        <w:right w:val="none" w:sz="0" w:space="0" w:color="auto"/>
      </w:divBdr>
      <w:divsChild>
        <w:div w:id="1741558001">
          <w:marLeft w:val="0"/>
          <w:marRight w:val="0"/>
          <w:marTop w:val="0"/>
          <w:marBottom w:val="0"/>
          <w:divBdr>
            <w:top w:val="none" w:sz="0" w:space="0" w:color="auto"/>
            <w:left w:val="none" w:sz="0" w:space="0" w:color="auto"/>
            <w:bottom w:val="none" w:sz="0" w:space="0" w:color="auto"/>
            <w:right w:val="none" w:sz="0" w:space="0" w:color="auto"/>
          </w:divBdr>
          <w:divsChild>
            <w:div w:id="65155028">
              <w:marLeft w:val="0"/>
              <w:marRight w:val="0"/>
              <w:marTop w:val="0"/>
              <w:marBottom w:val="0"/>
              <w:divBdr>
                <w:top w:val="none" w:sz="0" w:space="0" w:color="auto"/>
                <w:left w:val="none" w:sz="0" w:space="0" w:color="auto"/>
                <w:bottom w:val="none" w:sz="0" w:space="0" w:color="auto"/>
                <w:right w:val="none" w:sz="0" w:space="0" w:color="auto"/>
              </w:divBdr>
              <w:divsChild>
                <w:div w:id="13415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4709">
      <w:bodyDiv w:val="1"/>
      <w:marLeft w:val="0"/>
      <w:marRight w:val="0"/>
      <w:marTop w:val="0"/>
      <w:marBottom w:val="0"/>
      <w:divBdr>
        <w:top w:val="none" w:sz="0" w:space="0" w:color="auto"/>
        <w:left w:val="none" w:sz="0" w:space="0" w:color="auto"/>
        <w:bottom w:val="none" w:sz="0" w:space="0" w:color="auto"/>
        <w:right w:val="none" w:sz="0" w:space="0" w:color="auto"/>
      </w:divBdr>
    </w:div>
    <w:div w:id="219559600">
      <w:bodyDiv w:val="1"/>
      <w:marLeft w:val="0"/>
      <w:marRight w:val="0"/>
      <w:marTop w:val="0"/>
      <w:marBottom w:val="0"/>
      <w:divBdr>
        <w:top w:val="none" w:sz="0" w:space="0" w:color="auto"/>
        <w:left w:val="none" w:sz="0" w:space="0" w:color="auto"/>
        <w:bottom w:val="none" w:sz="0" w:space="0" w:color="auto"/>
        <w:right w:val="none" w:sz="0" w:space="0" w:color="auto"/>
      </w:divBdr>
      <w:divsChild>
        <w:div w:id="1902717895">
          <w:marLeft w:val="0"/>
          <w:marRight w:val="0"/>
          <w:marTop w:val="0"/>
          <w:marBottom w:val="0"/>
          <w:divBdr>
            <w:top w:val="none" w:sz="0" w:space="0" w:color="auto"/>
            <w:left w:val="none" w:sz="0" w:space="0" w:color="auto"/>
            <w:bottom w:val="none" w:sz="0" w:space="0" w:color="auto"/>
            <w:right w:val="none" w:sz="0" w:space="0" w:color="auto"/>
          </w:divBdr>
          <w:divsChild>
            <w:div w:id="1359308493">
              <w:marLeft w:val="0"/>
              <w:marRight w:val="0"/>
              <w:marTop w:val="0"/>
              <w:marBottom w:val="0"/>
              <w:divBdr>
                <w:top w:val="none" w:sz="0" w:space="0" w:color="auto"/>
                <w:left w:val="none" w:sz="0" w:space="0" w:color="auto"/>
                <w:bottom w:val="none" w:sz="0" w:space="0" w:color="auto"/>
                <w:right w:val="none" w:sz="0" w:space="0" w:color="auto"/>
              </w:divBdr>
              <w:divsChild>
                <w:div w:id="2036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5359">
      <w:bodyDiv w:val="1"/>
      <w:marLeft w:val="0"/>
      <w:marRight w:val="0"/>
      <w:marTop w:val="0"/>
      <w:marBottom w:val="0"/>
      <w:divBdr>
        <w:top w:val="none" w:sz="0" w:space="0" w:color="auto"/>
        <w:left w:val="none" w:sz="0" w:space="0" w:color="auto"/>
        <w:bottom w:val="none" w:sz="0" w:space="0" w:color="auto"/>
        <w:right w:val="none" w:sz="0" w:space="0" w:color="auto"/>
      </w:divBdr>
      <w:divsChild>
        <w:div w:id="1634826459">
          <w:marLeft w:val="0"/>
          <w:marRight w:val="0"/>
          <w:marTop w:val="0"/>
          <w:marBottom w:val="0"/>
          <w:divBdr>
            <w:top w:val="none" w:sz="0" w:space="0" w:color="auto"/>
            <w:left w:val="none" w:sz="0" w:space="0" w:color="auto"/>
            <w:bottom w:val="none" w:sz="0" w:space="0" w:color="auto"/>
            <w:right w:val="none" w:sz="0" w:space="0" w:color="auto"/>
          </w:divBdr>
          <w:divsChild>
            <w:div w:id="862481051">
              <w:marLeft w:val="0"/>
              <w:marRight w:val="0"/>
              <w:marTop w:val="0"/>
              <w:marBottom w:val="0"/>
              <w:divBdr>
                <w:top w:val="none" w:sz="0" w:space="0" w:color="auto"/>
                <w:left w:val="none" w:sz="0" w:space="0" w:color="auto"/>
                <w:bottom w:val="none" w:sz="0" w:space="0" w:color="auto"/>
                <w:right w:val="none" w:sz="0" w:space="0" w:color="auto"/>
              </w:divBdr>
              <w:divsChild>
                <w:div w:id="18069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3991">
      <w:bodyDiv w:val="1"/>
      <w:marLeft w:val="0"/>
      <w:marRight w:val="0"/>
      <w:marTop w:val="0"/>
      <w:marBottom w:val="0"/>
      <w:divBdr>
        <w:top w:val="none" w:sz="0" w:space="0" w:color="auto"/>
        <w:left w:val="none" w:sz="0" w:space="0" w:color="auto"/>
        <w:bottom w:val="none" w:sz="0" w:space="0" w:color="auto"/>
        <w:right w:val="none" w:sz="0" w:space="0" w:color="auto"/>
      </w:divBdr>
      <w:divsChild>
        <w:div w:id="663779684">
          <w:marLeft w:val="0"/>
          <w:marRight w:val="0"/>
          <w:marTop w:val="0"/>
          <w:marBottom w:val="0"/>
          <w:divBdr>
            <w:top w:val="none" w:sz="0" w:space="0" w:color="auto"/>
            <w:left w:val="none" w:sz="0" w:space="0" w:color="auto"/>
            <w:bottom w:val="none" w:sz="0" w:space="0" w:color="auto"/>
            <w:right w:val="none" w:sz="0" w:space="0" w:color="auto"/>
          </w:divBdr>
          <w:divsChild>
            <w:div w:id="1597203087">
              <w:marLeft w:val="0"/>
              <w:marRight w:val="0"/>
              <w:marTop w:val="0"/>
              <w:marBottom w:val="0"/>
              <w:divBdr>
                <w:top w:val="none" w:sz="0" w:space="0" w:color="auto"/>
                <w:left w:val="none" w:sz="0" w:space="0" w:color="auto"/>
                <w:bottom w:val="none" w:sz="0" w:space="0" w:color="auto"/>
                <w:right w:val="none" w:sz="0" w:space="0" w:color="auto"/>
              </w:divBdr>
              <w:divsChild>
                <w:div w:id="1409571149">
                  <w:marLeft w:val="0"/>
                  <w:marRight w:val="0"/>
                  <w:marTop w:val="0"/>
                  <w:marBottom w:val="0"/>
                  <w:divBdr>
                    <w:top w:val="none" w:sz="0" w:space="0" w:color="auto"/>
                    <w:left w:val="none" w:sz="0" w:space="0" w:color="auto"/>
                    <w:bottom w:val="none" w:sz="0" w:space="0" w:color="auto"/>
                    <w:right w:val="none" w:sz="0" w:space="0" w:color="auto"/>
                  </w:divBdr>
                </w:div>
                <w:div w:id="20109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2365">
      <w:bodyDiv w:val="1"/>
      <w:marLeft w:val="0"/>
      <w:marRight w:val="0"/>
      <w:marTop w:val="0"/>
      <w:marBottom w:val="0"/>
      <w:divBdr>
        <w:top w:val="none" w:sz="0" w:space="0" w:color="auto"/>
        <w:left w:val="none" w:sz="0" w:space="0" w:color="auto"/>
        <w:bottom w:val="none" w:sz="0" w:space="0" w:color="auto"/>
        <w:right w:val="none" w:sz="0" w:space="0" w:color="auto"/>
      </w:divBdr>
    </w:div>
    <w:div w:id="726683398">
      <w:bodyDiv w:val="1"/>
      <w:marLeft w:val="0"/>
      <w:marRight w:val="0"/>
      <w:marTop w:val="0"/>
      <w:marBottom w:val="0"/>
      <w:divBdr>
        <w:top w:val="none" w:sz="0" w:space="0" w:color="auto"/>
        <w:left w:val="none" w:sz="0" w:space="0" w:color="auto"/>
        <w:bottom w:val="none" w:sz="0" w:space="0" w:color="auto"/>
        <w:right w:val="none" w:sz="0" w:space="0" w:color="auto"/>
      </w:divBdr>
      <w:divsChild>
        <w:div w:id="2108041947">
          <w:marLeft w:val="0"/>
          <w:marRight w:val="0"/>
          <w:marTop w:val="0"/>
          <w:marBottom w:val="0"/>
          <w:divBdr>
            <w:top w:val="none" w:sz="0" w:space="0" w:color="auto"/>
            <w:left w:val="none" w:sz="0" w:space="0" w:color="auto"/>
            <w:bottom w:val="none" w:sz="0" w:space="0" w:color="auto"/>
            <w:right w:val="none" w:sz="0" w:space="0" w:color="auto"/>
          </w:divBdr>
          <w:divsChild>
            <w:div w:id="422268506">
              <w:marLeft w:val="0"/>
              <w:marRight w:val="0"/>
              <w:marTop w:val="0"/>
              <w:marBottom w:val="0"/>
              <w:divBdr>
                <w:top w:val="none" w:sz="0" w:space="0" w:color="auto"/>
                <w:left w:val="none" w:sz="0" w:space="0" w:color="auto"/>
                <w:bottom w:val="none" w:sz="0" w:space="0" w:color="auto"/>
                <w:right w:val="none" w:sz="0" w:space="0" w:color="auto"/>
              </w:divBdr>
              <w:divsChild>
                <w:div w:id="11600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6669">
      <w:bodyDiv w:val="1"/>
      <w:marLeft w:val="0"/>
      <w:marRight w:val="0"/>
      <w:marTop w:val="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67523328">
              <w:marLeft w:val="0"/>
              <w:marRight w:val="0"/>
              <w:marTop w:val="0"/>
              <w:marBottom w:val="0"/>
              <w:divBdr>
                <w:top w:val="none" w:sz="0" w:space="0" w:color="auto"/>
                <w:left w:val="none" w:sz="0" w:space="0" w:color="auto"/>
                <w:bottom w:val="none" w:sz="0" w:space="0" w:color="auto"/>
                <w:right w:val="none" w:sz="0" w:space="0" w:color="auto"/>
              </w:divBdr>
              <w:divsChild>
                <w:div w:id="350227501">
                  <w:marLeft w:val="0"/>
                  <w:marRight w:val="0"/>
                  <w:marTop w:val="0"/>
                  <w:marBottom w:val="0"/>
                  <w:divBdr>
                    <w:top w:val="none" w:sz="0" w:space="0" w:color="auto"/>
                    <w:left w:val="none" w:sz="0" w:space="0" w:color="auto"/>
                    <w:bottom w:val="none" w:sz="0" w:space="0" w:color="auto"/>
                    <w:right w:val="none" w:sz="0" w:space="0" w:color="auto"/>
                  </w:divBdr>
                </w:div>
                <w:div w:id="574434445">
                  <w:marLeft w:val="0"/>
                  <w:marRight w:val="0"/>
                  <w:marTop w:val="0"/>
                  <w:marBottom w:val="0"/>
                  <w:divBdr>
                    <w:top w:val="none" w:sz="0" w:space="0" w:color="auto"/>
                    <w:left w:val="none" w:sz="0" w:space="0" w:color="auto"/>
                    <w:bottom w:val="none" w:sz="0" w:space="0" w:color="auto"/>
                    <w:right w:val="none" w:sz="0" w:space="0" w:color="auto"/>
                  </w:divBdr>
                </w:div>
                <w:div w:id="863516565">
                  <w:marLeft w:val="0"/>
                  <w:marRight w:val="0"/>
                  <w:marTop w:val="0"/>
                  <w:marBottom w:val="0"/>
                  <w:divBdr>
                    <w:top w:val="none" w:sz="0" w:space="0" w:color="auto"/>
                    <w:left w:val="none" w:sz="0" w:space="0" w:color="auto"/>
                    <w:bottom w:val="none" w:sz="0" w:space="0" w:color="auto"/>
                    <w:right w:val="none" w:sz="0" w:space="0" w:color="auto"/>
                  </w:divBdr>
                </w:div>
                <w:div w:id="887910552">
                  <w:marLeft w:val="0"/>
                  <w:marRight w:val="0"/>
                  <w:marTop w:val="0"/>
                  <w:marBottom w:val="0"/>
                  <w:divBdr>
                    <w:top w:val="none" w:sz="0" w:space="0" w:color="auto"/>
                    <w:left w:val="none" w:sz="0" w:space="0" w:color="auto"/>
                    <w:bottom w:val="none" w:sz="0" w:space="0" w:color="auto"/>
                    <w:right w:val="none" w:sz="0" w:space="0" w:color="auto"/>
                  </w:divBdr>
                </w:div>
                <w:div w:id="1971281286">
                  <w:marLeft w:val="0"/>
                  <w:marRight w:val="0"/>
                  <w:marTop w:val="0"/>
                  <w:marBottom w:val="0"/>
                  <w:divBdr>
                    <w:top w:val="none" w:sz="0" w:space="0" w:color="auto"/>
                    <w:left w:val="none" w:sz="0" w:space="0" w:color="auto"/>
                    <w:bottom w:val="none" w:sz="0" w:space="0" w:color="auto"/>
                    <w:right w:val="none" w:sz="0" w:space="0" w:color="auto"/>
                  </w:divBdr>
                </w:div>
              </w:divsChild>
            </w:div>
            <w:div w:id="718480087">
              <w:marLeft w:val="0"/>
              <w:marRight w:val="0"/>
              <w:marTop w:val="0"/>
              <w:marBottom w:val="0"/>
              <w:divBdr>
                <w:top w:val="none" w:sz="0" w:space="0" w:color="auto"/>
                <w:left w:val="none" w:sz="0" w:space="0" w:color="auto"/>
                <w:bottom w:val="none" w:sz="0" w:space="0" w:color="auto"/>
                <w:right w:val="none" w:sz="0" w:space="0" w:color="auto"/>
              </w:divBdr>
              <w:divsChild>
                <w:div w:id="8365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3345">
      <w:bodyDiv w:val="1"/>
      <w:marLeft w:val="0"/>
      <w:marRight w:val="0"/>
      <w:marTop w:val="0"/>
      <w:marBottom w:val="0"/>
      <w:divBdr>
        <w:top w:val="none" w:sz="0" w:space="0" w:color="auto"/>
        <w:left w:val="none" w:sz="0" w:space="0" w:color="auto"/>
        <w:bottom w:val="none" w:sz="0" w:space="0" w:color="auto"/>
        <w:right w:val="none" w:sz="0" w:space="0" w:color="auto"/>
      </w:divBdr>
    </w:div>
    <w:div w:id="1020819915">
      <w:bodyDiv w:val="1"/>
      <w:marLeft w:val="0"/>
      <w:marRight w:val="0"/>
      <w:marTop w:val="0"/>
      <w:marBottom w:val="0"/>
      <w:divBdr>
        <w:top w:val="none" w:sz="0" w:space="0" w:color="auto"/>
        <w:left w:val="none" w:sz="0" w:space="0" w:color="auto"/>
        <w:bottom w:val="none" w:sz="0" w:space="0" w:color="auto"/>
        <w:right w:val="none" w:sz="0" w:space="0" w:color="auto"/>
      </w:divBdr>
      <w:divsChild>
        <w:div w:id="261189341">
          <w:marLeft w:val="0"/>
          <w:marRight w:val="0"/>
          <w:marTop w:val="0"/>
          <w:marBottom w:val="0"/>
          <w:divBdr>
            <w:top w:val="none" w:sz="0" w:space="0" w:color="auto"/>
            <w:left w:val="none" w:sz="0" w:space="0" w:color="auto"/>
            <w:bottom w:val="none" w:sz="0" w:space="0" w:color="auto"/>
            <w:right w:val="none" w:sz="0" w:space="0" w:color="auto"/>
          </w:divBdr>
          <w:divsChild>
            <w:div w:id="725689433">
              <w:marLeft w:val="0"/>
              <w:marRight w:val="0"/>
              <w:marTop w:val="0"/>
              <w:marBottom w:val="0"/>
              <w:divBdr>
                <w:top w:val="none" w:sz="0" w:space="0" w:color="auto"/>
                <w:left w:val="none" w:sz="0" w:space="0" w:color="auto"/>
                <w:bottom w:val="none" w:sz="0" w:space="0" w:color="auto"/>
                <w:right w:val="none" w:sz="0" w:space="0" w:color="auto"/>
              </w:divBdr>
              <w:divsChild>
                <w:div w:id="2015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9607">
      <w:bodyDiv w:val="1"/>
      <w:marLeft w:val="0"/>
      <w:marRight w:val="0"/>
      <w:marTop w:val="0"/>
      <w:marBottom w:val="0"/>
      <w:divBdr>
        <w:top w:val="none" w:sz="0" w:space="0" w:color="auto"/>
        <w:left w:val="none" w:sz="0" w:space="0" w:color="auto"/>
        <w:bottom w:val="none" w:sz="0" w:space="0" w:color="auto"/>
        <w:right w:val="none" w:sz="0" w:space="0" w:color="auto"/>
      </w:divBdr>
    </w:div>
    <w:div w:id="1393583015">
      <w:bodyDiv w:val="1"/>
      <w:marLeft w:val="0"/>
      <w:marRight w:val="0"/>
      <w:marTop w:val="0"/>
      <w:marBottom w:val="0"/>
      <w:divBdr>
        <w:top w:val="none" w:sz="0" w:space="0" w:color="auto"/>
        <w:left w:val="none" w:sz="0" w:space="0" w:color="auto"/>
        <w:bottom w:val="none" w:sz="0" w:space="0" w:color="auto"/>
        <w:right w:val="none" w:sz="0" w:space="0" w:color="auto"/>
      </w:divBdr>
      <w:divsChild>
        <w:div w:id="307829270">
          <w:marLeft w:val="0"/>
          <w:marRight w:val="0"/>
          <w:marTop w:val="0"/>
          <w:marBottom w:val="0"/>
          <w:divBdr>
            <w:top w:val="none" w:sz="0" w:space="0" w:color="auto"/>
            <w:left w:val="none" w:sz="0" w:space="0" w:color="auto"/>
            <w:bottom w:val="none" w:sz="0" w:space="0" w:color="auto"/>
            <w:right w:val="none" w:sz="0" w:space="0" w:color="auto"/>
          </w:divBdr>
          <w:divsChild>
            <w:div w:id="356808727">
              <w:marLeft w:val="0"/>
              <w:marRight w:val="0"/>
              <w:marTop w:val="0"/>
              <w:marBottom w:val="0"/>
              <w:divBdr>
                <w:top w:val="none" w:sz="0" w:space="0" w:color="auto"/>
                <w:left w:val="none" w:sz="0" w:space="0" w:color="auto"/>
                <w:bottom w:val="none" w:sz="0" w:space="0" w:color="auto"/>
                <w:right w:val="none" w:sz="0" w:space="0" w:color="auto"/>
              </w:divBdr>
              <w:divsChild>
                <w:div w:id="53048222">
                  <w:marLeft w:val="0"/>
                  <w:marRight w:val="0"/>
                  <w:marTop w:val="0"/>
                  <w:marBottom w:val="0"/>
                  <w:divBdr>
                    <w:top w:val="none" w:sz="0" w:space="0" w:color="auto"/>
                    <w:left w:val="none" w:sz="0" w:space="0" w:color="auto"/>
                    <w:bottom w:val="none" w:sz="0" w:space="0" w:color="auto"/>
                    <w:right w:val="none" w:sz="0" w:space="0" w:color="auto"/>
                  </w:divBdr>
                </w:div>
              </w:divsChild>
            </w:div>
            <w:div w:id="440300072">
              <w:marLeft w:val="0"/>
              <w:marRight w:val="0"/>
              <w:marTop w:val="0"/>
              <w:marBottom w:val="0"/>
              <w:divBdr>
                <w:top w:val="none" w:sz="0" w:space="0" w:color="auto"/>
                <w:left w:val="none" w:sz="0" w:space="0" w:color="auto"/>
                <w:bottom w:val="none" w:sz="0" w:space="0" w:color="auto"/>
                <w:right w:val="none" w:sz="0" w:space="0" w:color="auto"/>
              </w:divBdr>
              <w:divsChild>
                <w:div w:id="1585453355">
                  <w:marLeft w:val="0"/>
                  <w:marRight w:val="0"/>
                  <w:marTop w:val="0"/>
                  <w:marBottom w:val="0"/>
                  <w:divBdr>
                    <w:top w:val="none" w:sz="0" w:space="0" w:color="auto"/>
                    <w:left w:val="none" w:sz="0" w:space="0" w:color="auto"/>
                    <w:bottom w:val="none" w:sz="0" w:space="0" w:color="auto"/>
                    <w:right w:val="none" w:sz="0" w:space="0" w:color="auto"/>
                  </w:divBdr>
                </w:div>
              </w:divsChild>
            </w:div>
            <w:div w:id="1370686533">
              <w:marLeft w:val="0"/>
              <w:marRight w:val="0"/>
              <w:marTop w:val="0"/>
              <w:marBottom w:val="0"/>
              <w:divBdr>
                <w:top w:val="none" w:sz="0" w:space="0" w:color="auto"/>
                <w:left w:val="none" w:sz="0" w:space="0" w:color="auto"/>
                <w:bottom w:val="none" w:sz="0" w:space="0" w:color="auto"/>
                <w:right w:val="none" w:sz="0" w:space="0" w:color="auto"/>
              </w:divBdr>
              <w:divsChild>
                <w:div w:id="242447549">
                  <w:marLeft w:val="0"/>
                  <w:marRight w:val="0"/>
                  <w:marTop w:val="0"/>
                  <w:marBottom w:val="0"/>
                  <w:divBdr>
                    <w:top w:val="none" w:sz="0" w:space="0" w:color="auto"/>
                    <w:left w:val="none" w:sz="0" w:space="0" w:color="auto"/>
                    <w:bottom w:val="none" w:sz="0" w:space="0" w:color="auto"/>
                    <w:right w:val="none" w:sz="0" w:space="0" w:color="auto"/>
                  </w:divBdr>
                </w:div>
                <w:div w:id="358511257">
                  <w:marLeft w:val="0"/>
                  <w:marRight w:val="0"/>
                  <w:marTop w:val="0"/>
                  <w:marBottom w:val="0"/>
                  <w:divBdr>
                    <w:top w:val="none" w:sz="0" w:space="0" w:color="auto"/>
                    <w:left w:val="none" w:sz="0" w:space="0" w:color="auto"/>
                    <w:bottom w:val="none" w:sz="0" w:space="0" w:color="auto"/>
                    <w:right w:val="none" w:sz="0" w:space="0" w:color="auto"/>
                  </w:divBdr>
                </w:div>
                <w:div w:id="483087758">
                  <w:marLeft w:val="0"/>
                  <w:marRight w:val="0"/>
                  <w:marTop w:val="0"/>
                  <w:marBottom w:val="0"/>
                  <w:divBdr>
                    <w:top w:val="none" w:sz="0" w:space="0" w:color="auto"/>
                    <w:left w:val="none" w:sz="0" w:space="0" w:color="auto"/>
                    <w:bottom w:val="none" w:sz="0" w:space="0" w:color="auto"/>
                    <w:right w:val="none" w:sz="0" w:space="0" w:color="auto"/>
                  </w:divBdr>
                </w:div>
                <w:div w:id="502627941">
                  <w:marLeft w:val="0"/>
                  <w:marRight w:val="0"/>
                  <w:marTop w:val="0"/>
                  <w:marBottom w:val="0"/>
                  <w:divBdr>
                    <w:top w:val="none" w:sz="0" w:space="0" w:color="auto"/>
                    <w:left w:val="none" w:sz="0" w:space="0" w:color="auto"/>
                    <w:bottom w:val="none" w:sz="0" w:space="0" w:color="auto"/>
                    <w:right w:val="none" w:sz="0" w:space="0" w:color="auto"/>
                  </w:divBdr>
                </w:div>
                <w:div w:id="988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5243">
      <w:bodyDiv w:val="1"/>
      <w:marLeft w:val="0"/>
      <w:marRight w:val="0"/>
      <w:marTop w:val="0"/>
      <w:marBottom w:val="0"/>
      <w:divBdr>
        <w:top w:val="none" w:sz="0" w:space="0" w:color="auto"/>
        <w:left w:val="none" w:sz="0" w:space="0" w:color="auto"/>
        <w:bottom w:val="none" w:sz="0" w:space="0" w:color="auto"/>
        <w:right w:val="none" w:sz="0" w:space="0" w:color="auto"/>
      </w:divBdr>
    </w:div>
    <w:div w:id="1912350660">
      <w:bodyDiv w:val="1"/>
      <w:marLeft w:val="0"/>
      <w:marRight w:val="0"/>
      <w:marTop w:val="0"/>
      <w:marBottom w:val="0"/>
      <w:divBdr>
        <w:top w:val="none" w:sz="0" w:space="0" w:color="auto"/>
        <w:left w:val="none" w:sz="0" w:space="0" w:color="auto"/>
        <w:bottom w:val="none" w:sz="0" w:space="0" w:color="auto"/>
        <w:right w:val="none" w:sz="0" w:space="0" w:color="auto"/>
      </w:divBdr>
      <w:divsChild>
        <w:div w:id="1514805202">
          <w:marLeft w:val="0"/>
          <w:marRight w:val="0"/>
          <w:marTop w:val="0"/>
          <w:marBottom w:val="0"/>
          <w:divBdr>
            <w:top w:val="none" w:sz="0" w:space="0" w:color="auto"/>
            <w:left w:val="none" w:sz="0" w:space="0" w:color="auto"/>
            <w:bottom w:val="none" w:sz="0" w:space="0" w:color="auto"/>
            <w:right w:val="none" w:sz="0" w:space="0" w:color="auto"/>
          </w:divBdr>
          <w:divsChild>
            <w:div w:id="42142743">
              <w:marLeft w:val="0"/>
              <w:marRight w:val="0"/>
              <w:marTop w:val="0"/>
              <w:marBottom w:val="0"/>
              <w:divBdr>
                <w:top w:val="none" w:sz="0" w:space="0" w:color="auto"/>
                <w:left w:val="none" w:sz="0" w:space="0" w:color="auto"/>
                <w:bottom w:val="none" w:sz="0" w:space="0" w:color="auto"/>
                <w:right w:val="none" w:sz="0" w:space="0" w:color="auto"/>
              </w:divBdr>
              <w:divsChild>
                <w:div w:id="5631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atafiles.samhsa.gov/"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p.feedingameri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4901</Words>
  <Characters>27938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Jyotirmoy</cp:lastModifiedBy>
  <cp:revision>8</cp:revision>
  <cp:lastPrinted>2022-12-11T01:47:00Z</cp:lastPrinted>
  <dcterms:created xsi:type="dcterms:W3CDTF">2022-12-11T00:53:00Z</dcterms:created>
  <dcterms:modified xsi:type="dcterms:W3CDTF">2022-12-11T01:49:00Z</dcterms:modified>
</cp:coreProperties>
</file>