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sffkh1lrxz8" w:id="0"/>
      <w:bookmarkEnd w:id="0"/>
      <w:r w:rsidDel="00000000" w:rsidR="00000000" w:rsidRPr="00000000">
        <w:rPr>
          <w:rtl w:val="0"/>
        </w:rPr>
        <w:t xml:space="preserve">Time Complexity 1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Arithmetic Progression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ind w:left="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An arithmetic progression or arithmetic sequence is a </w:t>
      </w:r>
      <w:hyperlink r:id="rId6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sequence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of </w:t>
      </w:r>
      <w:hyperlink r:id="rId7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numbers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such that the difference between the consecutive terms is constant. 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ind w:left="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For instance, the sequence 5, 7, 9, 11, 13, 15, . . . is an arithmetic progression with a common difference of 2.</w:t>
      </w:r>
    </w:p>
    <w:p w:rsidR="00000000" w:rsidDel="00000000" w:rsidP="00000000" w:rsidRDefault="00000000" w:rsidRPr="00000000" w14:paraId="00000006">
      <w:pPr>
        <w:shd w:fill="ffffff" w:val="clear"/>
        <w:spacing w:after="100" w:before="100" w:lineRule="auto"/>
        <w:ind w:left="0" w:firstLine="0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If the initial term of an arithmetic progression is </w:t>
      </w: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171450" cy="152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and the common difference of successive members is </w:t>
      </w: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95250" cy="1619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, then the </w:t>
      </w: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104775" cy="123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-th term of the sequence </w:t>
      </w: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190500" cy="1524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is given by: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ind w:left="0" w:firstLine="0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1495425" cy="2190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of AP series is given by -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876425" cy="3524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Derivation of Sum Formula: </w:t>
      </w:r>
    </w:p>
    <w:p w:rsidR="00000000" w:rsidDel="00000000" w:rsidP="00000000" w:rsidRDefault="00000000" w:rsidRPr="00000000" w14:paraId="0000000D">
      <w:pPr>
        <w:rPr>
          <w:b w:val="1"/>
          <w:color w:val="2021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To derive the above formula, begin by expressing the arithmetic series in two different ways: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572125" cy="2190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5686425" cy="21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Adding both sides of the two equations, all terms involving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cancel: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1438275" cy="2190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Dividing both sides by 2 produces a common form of the equation:</w:t>
      </w:r>
    </w:p>
    <w:p w:rsidR="00000000" w:rsidDel="00000000" w:rsidP="00000000" w:rsidRDefault="00000000" w:rsidRPr="00000000" w14:paraId="00000016">
      <w:pPr>
        <w:spacing w:after="140" w:before="40" w:lineRule="auto"/>
        <w:ind w:left="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1371600" cy="352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ind w:left="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An alternate form results from re-inserting the substitution: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1457325" cy="2190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40" w:lineRule="auto"/>
        <w:ind w:left="1780" w:firstLine="0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1876425" cy="352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ind w:left="0" w:firstLine="0"/>
        <w:rPr>
          <w:color w:val="6aa84f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Reference: </w:t>
      </w:r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​​</w:t>
      </w:r>
      <w:hyperlink r:id="rId19">
        <w:r w:rsidDel="00000000" w:rsidR="00000000" w:rsidRPr="00000000">
          <w:rPr>
            <w:color w:val="6aa84f"/>
            <w:sz w:val="24"/>
            <w:szCs w:val="24"/>
            <w:highlight w:val="white"/>
            <w:u w:val="single"/>
            <w:rtl w:val="0"/>
          </w:rPr>
          <w:t xml:space="preserve">https://en.wikipedia.org/wiki/Arithmetic_progression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eometric Progression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 geometric progression, also known as a geometric sequence, is a </w:t>
      </w:r>
      <w:hyperlink r:id="rId20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sequence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of non-zero </w:t>
      </w:r>
      <w:hyperlink r:id="rId21">
        <w:r w:rsidDel="00000000" w:rsidR="00000000" w:rsidRPr="00000000">
          <w:rPr>
            <w:color w:val="0645ad"/>
            <w:sz w:val="24"/>
            <w:szCs w:val="24"/>
            <w:rtl w:val="0"/>
          </w:rPr>
          <w:t xml:space="preserve">numbers</w:t>
        </w:r>
      </w:hyperlink>
      <w:r w:rsidDel="00000000" w:rsidR="00000000" w:rsidRPr="00000000">
        <w:rPr>
          <w:color w:val="202122"/>
          <w:sz w:val="24"/>
          <w:szCs w:val="24"/>
          <w:rtl w:val="0"/>
        </w:rPr>
        <w:t xml:space="preserve"> where each term after the first is found by multiplying the previous one by a fixed, non-zero number called the </w:t>
      </w:r>
      <w:r w:rsidDel="00000000" w:rsidR="00000000" w:rsidRPr="00000000">
        <w:rPr>
          <w:i w:val="1"/>
          <w:color w:val="202122"/>
          <w:sz w:val="24"/>
          <w:szCs w:val="24"/>
          <w:rtl w:val="0"/>
        </w:rPr>
        <w:t xml:space="preserve">common ratio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For example, the sequence 2, 6, 18, 54, ... is a geometric progression with common ratio 3. Similarly 10, 5, 2.5, 1.25, ... is a geometric sequence with a common ratio 1/2.</w:t>
      </w:r>
    </w:p>
    <w:p w:rsidR="00000000" w:rsidDel="00000000" w:rsidP="00000000" w:rsidRDefault="00000000" w:rsidRPr="00000000" w14:paraId="00000020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 general form of a geometric sequence is </w:t>
      </w: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1885950" cy="2286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where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4"/>
          <w:szCs w:val="24"/>
          <w:highlight w:val="white"/>
          <w:rtl w:val="0"/>
        </w:rPr>
        <w:t xml:space="preserve"> ≠ 0 is the common ratio and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4"/>
          <w:szCs w:val="24"/>
          <w:highlight w:val="white"/>
          <w:rtl w:val="0"/>
        </w:rPr>
        <w:t xml:space="preserve"> ≠ 0 is a </w:t>
      </w:r>
      <w:hyperlink r:id="rId23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scale factor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equal to the sequence's start value.</w:t>
      </w:r>
    </w:p>
    <w:p w:rsidR="00000000" w:rsidDel="00000000" w:rsidP="00000000" w:rsidRDefault="00000000" w:rsidRPr="00000000" w14:paraId="00000021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-th term of a geometric sequence with initial value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and common ratio </w:t>
      </w:r>
      <w:r w:rsidDel="00000000" w:rsidR="00000000" w:rsidRPr="00000000">
        <w:rPr>
          <w:i w:val="1"/>
          <w:color w:val="202122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is given by </w:t>
      </w:r>
    </w:p>
    <w:p w:rsidR="00000000" w:rsidDel="00000000" w:rsidP="00000000" w:rsidRDefault="00000000" w:rsidRPr="00000000" w14:paraId="00000023">
      <w:pPr>
        <w:shd w:fill="ffffff" w:val="clear"/>
        <w:spacing w:after="100" w:before="100" w:lineRule="auto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highlight w:val="white"/>
        </w:rPr>
        <w:drawing>
          <wp:inline distB="114300" distT="114300" distL="114300" distR="114300">
            <wp:extent cx="923925" cy="228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rPr/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Reference: </w:t>
      </w:r>
      <w:hyperlink r:id="rId25">
        <w:r w:rsidDel="00000000" w:rsidR="00000000" w:rsidRPr="00000000">
          <w:rPr>
            <w:color w:val="6aa84f"/>
            <w:sz w:val="24"/>
            <w:szCs w:val="24"/>
            <w:highlight w:val="white"/>
            <w:u w:val="single"/>
            <w:rtl w:val="0"/>
          </w:rPr>
          <w:t xml:space="preserve">https://en.wikipedia.org/wiki/Geometric_progression</w:t>
        </w:r>
      </w:hyperlink>
      <w:r w:rsidDel="00000000" w:rsidR="00000000" w:rsidRPr="00000000">
        <w:rPr>
          <w:color w:val="6aa84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900238" cy="396452"/>
          <wp:effectExtent b="0" l="0" r="0" t="0"/>
          <wp:docPr id="1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>
                    <a:alphaModFix amt="58999"/>
                  </a:blip>
                  <a:srcRect b="34943" l="13461" r="11858" t="37500"/>
                  <a:stretch>
                    <a:fillRect/>
                  </a:stretch>
                </pic:blipFill>
                <pic:spPr>
                  <a:xfrm>
                    <a:off x="0" y="0"/>
                    <a:ext cx="1900238" cy="3964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Sequence" TargetMode="External"/><Relationship Id="rId22" Type="http://schemas.openxmlformats.org/officeDocument/2006/relationships/image" Target="media/image11.png"/><Relationship Id="rId21" Type="http://schemas.openxmlformats.org/officeDocument/2006/relationships/hyperlink" Target="https://en.wikipedia.org/wiki/Number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s://en.wikipedia.org/wiki/Scale_fac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header" Target="header1.xml"/><Relationship Id="rId25" Type="http://schemas.openxmlformats.org/officeDocument/2006/relationships/hyperlink" Target="https://en.wikipedia.org/wiki/Geometric_progress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Sequence" TargetMode="External"/><Relationship Id="rId7" Type="http://schemas.openxmlformats.org/officeDocument/2006/relationships/hyperlink" Target="https://en.wikipedia.org/wiki/Number" TargetMode="External"/><Relationship Id="rId8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hyperlink" Target="https://en.wikipedia.org/wiki/Arithmetic_progression#:~:text=An%20arithmetic%20progression%20or%20arithmetic,a%20common%20difference%20of%202" TargetMode="External"/><Relationship Id="rId1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