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143832" w:rsidP="5B136410" w:rsidRDefault="11143832" w14:paraId="53500449" w14:textId="3E8C2DD0">
      <w:pPr>
        <w:pStyle w:val="Normal"/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Employee Attrition Prediction and Salary Analysis</w:t>
      </w:r>
    </w:p>
    <w:p w:rsidR="11143832" w:rsidP="5B136410" w:rsidRDefault="11143832" w14:paraId="215772E0" w14:textId="241393DF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 Machine Learning Based HR Decision Support System</w:t>
      </w:r>
    </w:p>
    <w:p w:rsidR="11143832" w:rsidP="5B136410" w:rsidRDefault="11143832" w14:paraId="071F71E3" w14:textId="69C7A537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Submitted by:</w:t>
      </w:r>
    </w:p>
    <w:p w:rsidR="11143832" w:rsidP="5B136410" w:rsidRDefault="11143832" w14:paraId="08414A59" w14:textId="4D2ABC04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V. Vinay (SE23UARI129), V. Kundan (SE23UARI147), K. Harsha Sree (SE23UECM030), G. Daya Sagar (SE23UARI146), A. Rithvik (SE23UARI016)</w:t>
      </w:r>
    </w:p>
    <w:p w:rsidR="11143832" w:rsidP="5B136410" w:rsidRDefault="11143832" w14:paraId="42B455F2" w14:textId="0C902D9C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Submitted to: Neeraj Choudhary</w:t>
      </w:r>
    </w:p>
    <w:p w:rsidR="11143832" w:rsidP="5B136410" w:rsidRDefault="11143832" w14:paraId="2356B2E1" w14:textId="5C645ECF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Academic Year: 2024 – 2025</w:t>
      </w:r>
    </w:p>
    <w:p w:rsidR="11143832" w:rsidP="5B136410" w:rsidRDefault="11143832" w14:paraId="60983470" w14:textId="3D93CA47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 </w:t>
      </w:r>
    </w:p>
    <w:p w:rsidR="11143832" w:rsidP="5B136410" w:rsidRDefault="11143832" w14:paraId="7C2C05F7" w14:textId="2CF9A579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Abstract</w:t>
      </w:r>
    </w:p>
    <w:p w:rsidR="11143832" w:rsidP="5B136410" w:rsidRDefault="11143832" w14:paraId="38F39327" w14:textId="0D150D63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This project presents a comprehensive machine learning pipeline that integrates classification and regression techniques to address employee attrition and salary prediction. The objective is to assist HR departments in making data-driven decisions to reduce turnover and improve financial planning.</w:t>
      </w:r>
    </w:p>
    <w:p w:rsidR="11143832" w:rsidP="5B136410" w:rsidRDefault="11143832" w14:paraId="0A0C6D38" w14:textId="130A40D4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Introduction</w:t>
      </w:r>
    </w:p>
    <w:p w:rsidR="11143832" w:rsidP="5B136410" w:rsidRDefault="11143832" w14:paraId="557D327E" w14:textId="154806A9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Employee attrition is a significant challenge, resulting in high costs related to recruitment, training, and lost productivity. This report outlines an end-to-end analysis of employee attrition prediction and salary forecasting using machine learning.</w:t>
      </w:r>
    </w:p>
    <w:p w:rsidR="11143832" w:rsidP="5B136410" w:rsidRDefault="11143832" w14:paraId="17B73649" w14:textId="7A763563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Problem Statement</w:t>
      </w:r>
    </w:p>
    <w:p w:rsidR="11143832" w:rsidP="5B136410" w:rsidRDefault="11143832" w14:paraId="51D50CE5" w14:textId="76CEFC2C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Organizations need to understand attrition causes, predict which employees are likely to leave, estimate financial losses from turnover, and develop effective, data-driven retention strategies.</w:t>
      </w:r>
    </w:p>
    <w:p w:rsidR="11143832" w:rsidP="5B136410" w:rsidRDefault="11143832" w14:paraId="455826DF" w14:textId="001E4677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Objectives</w:t>
      </w:r>
    </w:p>
    <w:p w:rsidR="11143832" w:rsidP="5B136410" w:rsidRDefault="11143832" w14:paraId="70CCC2B9" w14:textId="53CBD4EC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Develop accurate attrition prediction models, simulate realistic salary growth, identify high and low attrition risk groups, estimate potential financial loss, and provide actionable insights.</w:t>
      </w:r>
    </w:p>
    <w:p w:rsidR="11143832" w:rsidP="5B136410" w:rsidRDefault="11143832" w14:paraId="3CBAED00" w14:textId="66A83A21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Methodology</w:t>
      </w:r>
    </w:p>
    <w:p w:rsidR="11143832" w:rsidP="5B136410" w:rsidRDefault="11143832" w14:paraId="37544C3A" w14:textId="7CFEC890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The methodology includes data preprocessing, machine learning pipeline construction, and performance evaluation.</w:t>
      </w:r>
    </w:p>
    <w:p w:rsidR="11143832" w:rsidP="5B136410" w:rsidRDefault="11143832" w14:paraId="4FF639C7" w14:textId="4BC85EEC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Results</w:t>
      </w:r>
    </w:p>
    <w:p w:rsidR="11143832" w:rsidP="5B136410" w:rsidRDefault="11143832" w14:paraId="48ACF2E7" w14:textId="4BE8D303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Random Forest and Gradient Boosting were top performers for classification and regression tasks respectively. Key features affecting attrition include Overtime and YearsAtCompany.</w:t>
      </w:r>
    </w:p>
    <w:p w:rsidR="11143832" w:rsidP="5B136410" w:rsidRDefault="11143832" w14:paraId="6DD003A2" w14:textId="1E6B93C3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Strategic Recommendations</w:t>
      </w:r>
    </w:p>
    <w:p w:rsidR="11143832" w:rsidP="5B136410" w:rsidRDefault="11143832" w14:paraId="73002383" w14:textId="7D284161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Focus on high-risk employees, tailor pay and benefits, introduce wellness programs, and align bonuses with performance.</w:t>
      </w:r>
    </w:p>
    <w:p w:rsidR="11143832" w:rsidP="5B136410" w:rsidRDefault="11143832" w14:paraId="0589456C" w14:textId="0FD74153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Conclusion</w:t>
      </w:r>
    </w:p>
    <w:p w:rsidR="11143832" w:rsidP="5B136410" w:rsidRDefault="11143832" w14:paraId="1E48733A" w14:textId="2B916EFE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This study successfully demonstrates how machine learning can support HR departments in managing attrition and salary forecasting with actionable insights.</w:t>
      </w:r>
    </w:p>
    <w:p w:rsidR="11143832" w:rsidP="5B136410" w:rsidRDefault="11143832" w14:paraId="7B243F11" w14:textId="267E5D06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Contributions</w:t>
      </w:r>
    </w:p>
    <w:p w:rsidR="11143832" w:rsidP="5B136410" w:rsidRDefault="11143832" w14:paraId="3ABC7F03" w14:textId="546F64D2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Vinay - 40%, Kundan - 17.5%, Harsha Sree - 17.5%, Daya - 12.5%, Rithvik - 12.5%</w:t>
      </w:r>
    </w:p>
    <w:p w:rsidR="11143832" w:rsidP="5B136410" w:rsidRDefault="11143832" w14:paraId="235692C1" w14:textId="5218E458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References</w:t>
      </w:r>
    </w:p>
    <w:p w:rsidR="11143832" w:rsidP="5B136410" w:rsidRDefault="11143832" w14:paraId="49C99B81" w14:textId="6673C37B">
      <w:pPr>
        <w:pStyle w:val="Normal"/>
      </w:pPr>
      <w:r w:rsidRPr="5B136410" w:rsidR="11143832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Include all references used in the report following appropriate citation format.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7f109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c75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ee67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ee2b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01f2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8d72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1e01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158f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06cc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136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867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d6d7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fa02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0fc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d83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b2f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70c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035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e1b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026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353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75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042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010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a01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9ade7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edc4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9c55c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8ab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a96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af8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e3a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7A57E"/>
    <w:rsid w:val="029D77A0"/>
    <w:rsid w:val="059D68D8"/>
    <w:rsid w:val="05E7E8A6"/>
    <w:rsid w:val="097A2EB5"/>
    <w:rsid w:val="11143832"/>
    <w:rsid w:val="18D575FB"/>
    <w:rsid w:val="19FD52D3"/>
    <w:rsid w:val="1A6B4782"/>
    <w:rsid w:val="22FFC1E7"/>
    <w:rsid w:val="2D57A57E"/>
    <w:rsid w:val="448BCABD"/>
    <w:rsid w:val="45EC81E4"/>
    <w:rsid w:val="4C74C8EA"/>
    <w:rsid w:val="54E9DF4D"/>
    <w:rsid w:val="575BF8C0"/>
    <w:rsid w:val="585E5DB9"/>
    <w:rsid w:val="5B136410"/>
    <w:rsid w:val="676551B2"/>
    <w:rsid w:val="687BFA8C"/>
    <w:rsid w:val="6AB10263"/>
    <w:rsid w:val="6E26F8AC"/>
    <w:rsid w:val="6FFB58B0"/>
    <w:rsid w:val="7571DF50"/>
    <w:rsid w:val="7B7937BF"/>
    <w:rsid w:val="7CF0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A57E"/>
  <w15:chartTrackingRefBased/>
  <w15:docId w15:val="{2B9479F0-367F-4F95-BABD-CC3477094B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1364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dd2004b0a648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2025-05-07T18:12:41.4938725Z</dcterms:created>
  <dcterms:modified xsi:type="dcterms:W3CDTF">2025-05-07T20:10:52.1798728Z</dcterms:modified>
  <dc:creator>Pechetti Sai Manohar</dc:creator>
  <lastModifiedBy>Pechetti Sai Manohar</lastModifiedBy>
</coreProperties>
</file>