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mbria" w:hAnsi="Cambria" w:cs="Cambria" w:eastAsia="Cambria"/>
          <w:b/>
          <w:color w:val="000000"/>
          <w:spacing w:val="0"/>
          <w:position w:val="0"/>
          <w:sz w:val="32"/>
          <w:shd w:fill="auto" w:val="clear"/>
        </w:rPr>
      </w:pPr>
      <w:r>
        <w:object w:dxaOrig="2080" w:dyaOrig="891">
          <v:rect xmlns:o="urn:schemas-microsoft-com:office:office" xmlns:v="urn:schemas-microsoft-com:vml" id="rectole0000000000" style="width:104.000000pt;height:44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32"/>
          <w:shd w:fill="auto" w:val="clear"/>
        </w:rPr>
        <w:t xml:space="preserve">Story</w:t>
      </w:r>
    </w:p>
    <w:p>
      <w:pPr>
        <w:spacing w:before="0" w:after="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18 August 2026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PNT2022TMIDxxxxxx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Title</w:t>
            </w:r>
          </w:p>
        </w:tc>
      </w:tr>
      <w:tr>
        <w:trPr>
          <w:trHeight w:val="1" w:hRule="atLeast"/>
          <w:jc w:val="center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200" w:line="240"/>
        <w:ind w:right="0" w:left="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 using stories in Tableau, you can effectively communicate complex data in a way that is both interactive and engaging, making it easier for the audience to follow along and understand the insights. It’s a tool for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storytelling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allowing you to present insights in a cohesive, engaging way that takes viewers through a logical progression of findings or analyses.</w:t>
      </w:r>
    </w:p>
    <w:p>
      <w:pPr>
        <w:spacing w:before="0" w:after="200" w:line="240"/>
        <w:ind w:right="0" w:left="284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Tableau,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Story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   </w:t>
      </w:r>
    </w:p>
    <w:p>
      <w:pPr>
        <w:spacing w:before="0" w:after="20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object w:dxaOrig="8670" w:dyaOrig="4215">
          <v:rect xmlns:o="urn:schemas-microsoft-com:office:office" xmlns:v="urn:schemas-microsoft-com:vml" id="rectole0000000001" style="width:433.500000pt;height:210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Observations: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Technology Category Leads in Profit</w:t>
      </w:r>
      <w:r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  <w:t xml:space="preserve">: The Technology category is generating the highest profit among all categories.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Seasonal Sales Trend</w:t>
      </w:r>
      <w:r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  <w:t xml:space="preserve">: Sales peak in November, while February sees the lowest sales, indicating a possible seasonal trend.</w:t>
      </w: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Consumer Segment Dominates</w:t>
      </w:r>
      <w:r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  <w:t xml:space="preserve">: The Consumer segment contributes to the highest percentage of sales, accounting for 50.56%.</w:t>
      </w:r>
    </w:p>
    <w:p>
      <w:pPr>
        <w:numPr>
          <w:ilvl w:val="0"/>
          <w:numId w:val="17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Top Revenue-Generating Product</w:t>
      </w:r>
      <w:r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  <w:t xml:space="preserve">: Chairs from the Furniture category generate the highest revenue, totaling 1.66M.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Activity 2: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Publish Story on Tableau Public and Paste Public link below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https://public.tableau.com/views/Vinayraj/Story2?:language=en-US&amp;publish=yes&amp;:sid=&amp;:redirect=auth&amp;:display_count=n&amp;:origin=viz_share_link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numbering.xml" Id="docRId5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public.tableau.com/views/Vinayraj/Story2?:language=en-US&amp;publish=yes&amp;:sid=&amp;:redirect=auth&amp;:display_count=n&amp;:origin=viz_share_link" Id="docRId4" Type="http://schemas.openxmlformats.org/officeDocument/2006/relationships/hyperlink" /><Relationship Target="styles.xml" Id="docRId6" Type="http://schemas.openxmlformats.org/officeDocument/2006/relationships/styles" /></Relationships>
</file>