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mbria" w:hAnsi="Cambria" w:cs="Cambria" w:eastAsia="Cambria"/>
          <w:b/>
          <w:color w:val="auto"/>
          <w:spacing w:val="0"/>
          <w:position w:val="0"/>
          <w:sz w:val="32"/>
          <w:shd w:fill="FFFFFF" w:val="clear"/>
        </w:rPr>
      </w:pPr>
      <w:r>
        <w:object w:dxaOrig="2080" w:dyaOrig="891">
          <v:rect xmlns:o="urn:schemas-microsoft-com:office:office" xmlns:v="urn:schemas-microsoft-com:vml" id="rectole0000000000" style="width:104.000000pt;height:44.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Cambria" w:hAnsi="Cambria" w:cs="Cambria" w:eastAsia="Cambria"/>
          <w:b/>
          <w:color w:val="000000"/>
          <w:spacing w:val="0"/>
          <w:position w:val="0"/>
          <w:sz w:val="32"/>
          <w:shd w:fill="FFFFFF" w:val="clear"/>
        </w:rPr>
        <w:t xml:space="preserve">                                      Dashboard Design</w:t>
      </w:r>
    </w:p>
    <w:p>
      <w:pPr>
        <w:spacing w:before="39" w:after="0" w:line="240"/>
        <w:ind w:right="0" w:left="2701" w:firstLine="0"/>
        <w:jc w:val="left"/>
        <w:rPr>
          <w:rFonts w:ascii="Calibri" w:hAnsi="Calibri" w:cs="Calibri" w:eastAsia="Calibri"/>
          <w:b/>
          <w:color w:val="auto"/>
          <w:spacing w:val="0"/>
          <w:position w:val="0"/>
          <w:sz w:val="28"/>
          <w:shd w:fill="auto" w:val="clear"/>
        </w:rPr>
      </w:pPr>
    </w:p>
    <w:tbl>
      <w:tblPr/>
      <w:tblGrid>
        <w:gridCol w:w="4507"/>
        <w:gridCol w:w="4511"/>
      </w:tblGrid>
      <w:tr>
        <w:trPr>
          <w:trHeight w:val="278" w:hRule="auto"/>
          <w:jc w:val="left"/>
        </w:trPr>
        <w:tc>
          <w:tcPr>
            <w:tcW w:w="4507"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 </w:t>
            </w:r>
          </w:p>
        </w:tc>
        <w:tc>
          <w:tcPr>
            <w:tcW w:w="4511"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 August 2026</w:t>
            </w:r>
          </w:p>
        </w:tc>
      </w:tr>
      <w:tr>
        <w:trPr>
          <w:trHeight w:val="278" w:hRule="auto"/>
          <w:jc w:val="left"/>
        </w:trPr>
        <w:tc>
          <w:tcPr>
            <w:tcW w:w="4507"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114"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 </w:t>
            </w:r>
          </w:p>
        </w:tc>
        <w:tc>
          <w:tcPr>
            <w:tcW w:w="4511"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PNT2022TMIDxxxxxx</w:t>
            </w:r>
          </w:p>
        </w:tc>
      </w:tr>
      <w:tr>
        <w:trPr>
          <w:trHeight w:val="278" w:hRule="auto"/>
          <w:jc w:val="left"/>
        </w:trPr>
        <w:tc>
          <w:tcPr>
            <w:tcW w:w="4507"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 </w:t>
            </w:r>
          </w:p>
        </w:tc>
        <w:tc>
          <w:tcPr>
            <w:tcW w:w="4511"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Title of Project</w:t>
            </w:r>
          </w:p>
        </w:tc>
      </w:tr>
      <w:tr>
        <w:trPr>
          <w:trHeight w:val="278" w:hRule="auto"/>
          <w:jc w:val="left"/>
        </w:trPr>
        <w:tc>
          <w:tcPr>
            <w:tcW w:w="4507"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131"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 </w:t>
            </w:r>
          </w:p>
        </w:tc>
        <w:tc>
          <w:tcPr>
            <w:tcW w:w="4511"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125"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Marks</w:t>
            </w:r>
          </w:p>
        </w:tc>
      </w:tr>
    </w:tbl>
    <w:p>
      <w:pPr>
        <w:spacing w:before="0" w:after="0" w:line="276"/>
        <w:ind w:right="0" w:left="0" w:firstLine="0"/>
        <w:jc w:val="left"/>
        <w:rPr>
          <w:rFonts w:ascii="Cambria" w:hAnsi="Cambria" w:cs="Cambria" w:eastAsia="Cambria"/>
          <w:b/>
          <w:color w:val="auto"/>
          <w:spacing w:val="0"/>
          <w:position w:val="0"/>
          <w:sz w:val="32"/>
          <w:shd w:fill="FFFFFF" w:val="clear"/>
        </w:rPr>
      </w:pPr>
    </w:p>
    <w:p>
      <w:pPr>
        <w:spacing w:before="0" w:after="160" w:line="259"/>
        <w:ind w:right="0" w:left="0" w:firstLine="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Creating an effective dashboard involves thoughtful design to ensure that the presented information is clear, relevant, and easily understandable for the intended audience. Here are some key principles and best practices for dashboard design</w:t>
      </w:r>
    </w:p>
    <w:p>
      <w:pPr>
        <w:spacing w:before="0" w:after="160" w:line="259"/>
        <w:ind w:right="0" w:left="0" w:firstLine="0"/>
        <w:jc w:val="left"/>
        <w:rPr>
          <w:rFonts w:ascii="Cambria" w:hAnsi="Cambria" w:cs="Cambria" w:eastAsia="Cambria"/>
          <w:b/>
          <w:color w:val="000000"/>
          <w:spacing w:val="0"/>
          <w:position w:val="0"/>
          <w:sz w:val="24"/>
          <w:shd w:fill="FFFFFF" w:val="clear"/>
        </w:rPr>
      </w:pPr>
      <w:r>
        <w:rPr>
          <w:rFonts w:ascii="Cambria" w:hAnsi="Cambria" w:cs="Cambria" w:eastAsia="Cambria"/>
          <w:b/>
          <w:color w:val="000000"/>
          <w:spacing w:val="0"/>
          <w:position w:val="0"/>
          <w:sz w:val="32"/>
          <w:shd w:fill="FFFFFF" w:val="clear"/>
        </w:rPr>
        <w:tab/>
      </w:r>
      <w:r>
        <w:rPr>
          <w:rFonts w:ascii="Cambria" w:hAnsi="Cambria" w:cs="Cambria" w:eastAsia="Cambria"/>
          <w:b/>
          <w:color w:val="000000"/>
          <w:spacing w:val="0"/>
          <w:position w:val="0"/>
          <w:sz w:val="24"/>
          <w:shd w:fill="FFFFFF" w:val="clear"/>
        </w:rPr>
        <w:t xml:space="preserve">Activity 1: Interactive and visually appealing dashboards </w:t>
      </w:r>
    </w:p>
    <w:p>
      <w:pPr>
        <w:spacing w:before="0" w:after="160" w:line="259"/>
        <w:ind w:right="0" w:left="720" w:firstLine="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pPr>
        <w:numPr>
          <w:ilvl w:val="0"/>
          <w:numId w:val="18"/>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Clear and Intuitive Layout</w:t>
      </w:r>
    </w:p>
    <w:p>
      <w:pPr>
        <w:numPr>
          <w:ilvl w:val="0"/>
          <w:numId w:val="18"/>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Use Appropriate Visualizations</w:t>
      </w:r>
    </w:p>
    <w:p>
      <w:pPr>
        <w:numPr>
          <w:ilvl w:val="0"/>
          <w:numId w:val="18"/>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Colour and Theming</w:t>
      </w:r>
    </w:p>
    <w:p>
      <w:pPr>
        <w:numPr>
          <w:ilvl w:val="0"/>
          <w:numId w:val="18"/>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Interactive Filters and Slicers</w:t>
      </w:r>
    </w:p>
    <w:p>
      <w:pPr>
        <w:numPr>
          <w:ilvl w:val="0"/>
          <w:numId w:val="18"/>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Drill-Down Capabilities</w:t>
      </w:r>
    </w:p>
    <w:p>
      <w:pPr>
        <w:numPr>
          <w:ilvl w:val="0"/>
          <w:numId w:val="18"/>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Responsive Design</w:t>
      </w:r>
    </w:p>
    <w:p>
      <w:pPr>
        <w:numPr>
          <w:ilvl w:val="0"/>
          <w:numId w:val="18"/>
        </w:numPr>
        <w:spacing w:before="0" w:after="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Custom Visuals and Icons</w:t>
      </w:r>
    </w:p>
    <w:p>
      <w:pPr>
        <w:numPr>
          <w:ilvl w:val="0"/>
          <w:numId w:val="18"/>
        </w:numPr>
        <w:spacing w:before="0" w:after="160" w:line="259"/>
        <w:ind w:right="0" w:left="1440" w:hanging="360"/>
        <w:jc w:val="left"/>
        <w:rPr>
          <w:rFonts w:ascii="Cambria" w:hAnsi="Cambria" w:cs="Cambria" w:eastAsia="Cambria"/>
          <w:color w:val="000000"/>
          <w:spacing w:val="0"/>
          <w:position w:val="0"/>
          <w:sz w:val="24"/>
          <w:shd w:fill="FFFFFF" w:val="clear"/>
        </w:rPr>
      </w:pPr>
      <w:r>
        <w:rPr>
          <w:rFonts w:ascii="Cambria" w:hAnsi="Cambria" w:cs="Cambria" w:eastAsia="Cambria"/>
          <w:color w:val="000000"/>
          <w:spacing w:val="0"/>
          <w:position w:val="0"/>
          <w:sz w:val="24"/>
          <w:shd w:fill="FFFFFF" w:val="clear"/>
        </w:rPr>
        <w:t xml:space="preserve">Use of Infographics</w:t>
      </w:r>
    </w:p>
    <w:p>
      <w:pPr>
        <w:spacing w:before="0" w:after="160" w:line="240"/>
        <w:ind w:right="0" w:left="1080" w:firstLine="0"/>
        <w:jc w:val="left"/>
        <w:rPr>
          <w:rFonts w:ascii="Arial" w:hAnsi="Arial" w:cs="Arial" w:eastAsia="Arial"/>
          <w:color w:val="333333"/>
          <w:spacing w:val="0"/>
          <w:position w:val="0"/>
          <w:sz w:val="20"/>
          <w:shd w:fill="auto" w:val="clear"/>
        </w:rPr>
      </w:pPr>
    </w:p>
    <w:p>
      <w:pPr>
        <w:spacing w:before="0" w:after="200" w:line="240"/>
        <w:ind w:right="0" w:left="0" w:firstLine="0"/>
        <w:jc w:val="left"/>
        <w:rPr>
          <w:rFonts w:ascii="Arial" w:hAnsi="Arial" w:cs="Arial" w:eastAsia="Arial"/>
          <w:color w:val="auto"/>
          <w:spacing w:val="0"/>
          <w:position w:val="0"/>
          <w:sz w:val="20"/>
          <w:shd w:fill="auto" w:val="clear"/>
        </w:rPr>
      </w:pPr>
      <w:r>
        <w:object w:dxaOrig="7680" w:dyaOrig="3899">
          <v:rect xmlns:o="urn:schemas-microsoft-com:office:office" xmlns:v="urn:schemas-microsoft-com:vml" id="rectole0000000001" style="width:384.000000pt;height:194.9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40"/>
        <w:ind w:right="0" w:left="0" w:firstLine="0"/>
        <w:jc w:val="left"/>
        <w:rPr>
          <w:rFonts w:ascii="Arial" w:hAnsi="Arial" w:cs="Arial" w:eastAsia="Arial"/>
          <w:color w:val="auto"/>
          <w:spacing w:val="0"/>
          <w:position w:val="0"/>
          <w:sz w:val="20"/>
          <w:shd w:fill="auto" w:val="clear"/>
        </w:rPr>
      </w:pPr>
      <w:r>
        <w:rPr>
          <w:rFonts w:ascii="Arial" w:hAnsi="Arial" w:cs="Arial" w:eastAsia="Arial"/>
          <w:b/>
          <w:color w:val="auto"/>
          <w:spacing w:val="0"/>
          <w:position w:val="0"/>
          <w:sz w:val="20"/>
          <w:shd w:fill="auto" w:val="clear"/>
        </w:rPr>
        <w:t xml:space="preserve">Note:</w:t>
      </w:r>
      <w:r>
        <w:rPr>
          <w:rFonts w:ascii="Arial" w:hAnsi="Arial" w:cs="Arial" w:eastAsia="Arial"/>
          <w:color w:val="auto"/>
          <w:spacing w:val="0"/>
          <w:position w:val="0"/>
          <w:sz w:val="20"/>
          <w:shd w:fill="auto" w:val="clear"/>
        </w:rPr>
        <w:t xml:space="preserve"> Highlight the major outcomes in form of bullet points </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are five potential outcomes from the dashboard image provided:</w:t>
      </w:r>
    </w:p>
    <w:p>
      <w:pPr>
        <w:numPr>
          <w:ilvl w:val="0"/>
          <w:numId w:val="22"/>
        </w:numPr>
        <w:spacing w:before="24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shd w:fill="auto" w:val="clear"/>
        </w:rPr>
        <w:t xml:space="preserve">Customer Count and Sales Overview</w:t>
      </w:r>
      <w:r>
        <w:rPr>
          <w:rFonts w:ascii="Calibri" w:hAnsi="Calibri" w:cs="Calibri" w:eastAsia="Calibri"/>
          <w:color w:val="auto"/>
          <w:spacing w:val="0"/>
          <w:position w:val="0"/>
          <w:sz w:val="22"/>
          <w:shd w:fill="auto" w:val="clear"/>
        </w:rPr>
        <w:t xml:space="preserve">:The dashboard reports a total of 9,994 customers, with cumulative sales of 2.30M, a profit of 286.40K, and revenue of 11.49M. These figures highlight the overall scale and profitability of the store’s operations.</w:t>
      </w:r>
    </w:p>
    <w:p>
      <w:pPr>
        <w:numPr>
          <w:ilvl w:val="0"/>
          <w:numId w:val="22"/>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shd w:fill="auto" w:val="clear"/>
        </w:rPr>
        <w:t xml:space="preserve">Highest Sales</w:t>
      </w:r>
      <w:r>
        <w:rPr>
          <w:rFonts w:ascii="Calibri" w:hAnsi="Calibri" w:cs="Calibri" w:eastAsia="Calibri"/>
          <w:color w:val="auto"/>
          <w:spacing w:val="0"/>
          <w:position w:val="0"/>
          <w:sz w:val="22"/>
          <w:shd w:fill="auto" w:val="clear"/>
        </w:rPr>
        <w:t xml:space="preserve">: Copiers and Machines are the top-selling products, with sales values of 2.199M and 1.646M, respectively. This suggests strong demand or high price points for these products.</w:t>
      </w:r>
    </w:p>
    <w:p>
      <w:pPr>
        <w:numPr>
          <w:ilvl w:val="0"/>
          <w:numId w:val="22"/>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shd w:fill="auto" w:val="clear"/>
        </w:rPr>
        <w:t xml:space="preserve">Peak Month</w:t>
      </w:r>
      <w:r>
        <w:rPr>
          <w:rFonts w:ascii="Calibri" w:hAnsi="Calibri" w:cs="Calibri" w:eastAsia="Calibri"/>
          <w:color w:val="auto"/>
          <w:spacing w:val="0"/>
          <w:position w:val="0"/>
          <w:sz w:val="22"/>
          <w:shd w:fill="auto" w:val="clear"/>
        </w:rPr>
        <w:t xml:space="preserve">: December has the highest monthly sales at 352.46K, likely due to holiday shopping.</w:t>
      </w:r>
    </w:p>
    <w:p>
      <w:pPr>
        <w:numPr>
          <w:ilvl w:val="0"/>
          <w:numId w:val="22"/>
        </w:numPr>
        <w:spacing w:before="0" w:after="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shd w:fill="auto" w:val="clear"/>
        </w:rPr>
        <w:t xml:space="preserve">Seasonal Sales Growth</w:t>
      </w:r>
      <w:r>
        <w:rPr>
          <w:rFonts w:ascii="Calibri" w:hAnsi="Calibri" w:cs="Calibri" w:eastAsia="Calibri"/>
          <w:color w:val="auto"/>
          <w:spacing w:val="0"/>
          <w:position w:val="0"/>
          <w:sz w:val="22"/>
          <w:shd w:fill="auto" w:val="clear"/>
        </w:rPr>
        <w:t xml:space="preserve">:The monthly sales chart shows growth in specific months, such as March, September, October, and December, likely influenced by seasonal factors and sales events.</w:t>
      </w:r>
    </w:p>
    <w:p>
      <w:pPr>
        <w:numPr>
          <w:ilvl w:val="0"/>
          <w:numId w:val="22"/>
        </w:numPr>
        <w:spacing w:before="0" w:after="240" w:line="240"/>
        <w:ind w:right="0" w:left="720" w:hanging="360"/>
        <w:jc w:val="left"/>
        <w:rPr>
          <w:rFonts w:ascii="Calibri" w:hAnsi="Calibri" w:cs="Calibri" w:eastAsia="Calibri"/>
          <w:color w:val="auto"/>
          <w:spacing w:val="0"/>
          <w:position w:val="0"/>
          <w:sz w:val="22"/>
          <w:u w:val="single"/>
          <w:shd w:fill="auto" w:val="clear"/>
        </w:rPr>
      </w:pPr>
      <w:r>
        <w:rPr>
          <w:rFonts w:ascii="Calibri" w:hAnsi="Calibri" w:cs="Calibri" w:eastAsia="Calibri"/>
          <w:b/>
          <w:color w:val="auto"/>
          <w:spacing w:val="0"/>
          <w:position w:val="0"/>
          <w:sz w:val="22"/>
          <w:shd w:fill="auto" w:val="clear"/>
        </w:rPr>
        <w:t xml:space="preserve">Sales Distribution Across Segments</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Consumer segment</w:t>
      </w:r>
      <w:r>
        <w:rPr>
          <w:rFonts w:ascii="Calibri" w:hAnsi="Calibri" w:cs="Calibri" w:eastAsia="Calibri"/>
          <w:color w:val="auto"/>
          <w:spacing w:val="0"/>
          <w:position w:val="0"/>
          <w:sz w:val="22"/>
          <w:shd w:fill="auto" w:val="clear"/>
        </w:rPr>
        <w:t xml:space="preserve"> leads with 0.41M in sales, followed by Corporate at 0.25M, and Home Office at the lowest</w:t>
      </w:r>
    </w:p>
    <w:p>
      <w:pPr>
        <w:spacing w:before="240" w:after="240" w:line="240"/>
        <w:ind w:right="0" w:left="0" w:firstLine="0"/>
        <w:jc w:val="left"/>
        <w:rPr>
          <w:rFonts w:ascii="Calibri" w:hAnsi="Calibri" w:cs="Calibri" w:eastAsia="Calibri"/>
          <w:color w:val="auto"/>
          <w:spacing w:val="0"/>
          <w:position w:val="0"/>
          <w:sz w:val="22"/>
          <w:shd w:fill="auto" w:val="clear"/>
        </w:rPr>
      </w:pPr>
    </w:p>
    <w:p>
      <w:pPr>
        <w:spacing w:before="240" w:after="24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Activity 2</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Publish Dashboard on Tableau Public and Paste the Dashboard Public link below:</w:t>
      </w:r>
    </w:p>
    <w:p>
      <w:pPr>
        <w:spacing w:before="0" w:after="20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Example</w:t>
      </w:r>
    </w:p>
    <w:p>
      <w:pPr>
        <w:spacing w:before="0" w:after="200" w:line="240"/>
        <w:ind w:right="0" w:left="0" w:firstLine="0"/>
        <w:jc w:val="left"/>
        <w:rPr>
          <w:rFonts w:ascii="Calibri" w:hAnsi="Calibri" w:cs="Calibri" w:eastAsia="Calibri"/>
          <w:color w:val="auto"/>
          <w:spacing w:val="0"/>
          <w:position w:val="0"/>
          <w:sz w:val="28"/>
          <w:shd w:fill="auto" w:val="clear"/>
        </w:rPr>
      </w:pPr>
      <w:hyperlink xmlns:r="http://schemas.openxmlformats.org/officeDocument/2006/relationships" r:id="docRId4">
        <w:r>
          <w:rPr>
            <w:rFonts w:ascii="Calibri" w:hAnsi="Calibri" w:cs="Calibri" w:eastAsia="Calibri"/>
            <w:color w:val="0000FF"/>
            <w:spacing w:val="0"/>
            <w:position w:val="0"/>
            <w:sz w:val="28"/>
            <w:u w:val="single"/>
            <w:shd w:fill="auto" w:val="clear"/>
          </w:rPr>
          <w:t xml:space="preserve">https://public.tableau.com/views/Vinayraj/Dashboard1?:language=en-US&amp;publish=yes&amp;:sid=&amp;:redirect=auth&amp;:display_count=n&amp;:origin=viz_share_link</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18">
    <w:abstractNumId w:val="6"/>
  </w:num>
  <w:num w:numId="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numbering.xml" Id="docRId5" Type="http://schemas.openxmlformats.org/officeDocument/2006/relationships/numbering" /><Relationship Target="embeddings/oleObject0.bin" Id="docRId0" Type="http://schemas.openxmlformats.org/officeDocument/2006/relationships/oleObject" /><Relationship Target="embeddings/oleObject1.bin" Id="docRId2" Type="http://schemas.openxmlformats.org/officeDocument/2006/relationships/oleObject" /><Relationship TargetMode="External" Target="https://public.tableau.com/views/Vinayraj/Dashboard1?:language=en-US&amp;publish=yes&amp;:sid=&amp;:redirect=auth&amp;:display_count=n&amp;:origin=viz_share_link" Id="docRId4" Type="http://schemas.openxmlformats.org/officeDocument/2006/relationships/hyperlink" /><Relationship Target="styles.xml" Id="docRId6" Type="http://schemas.openxmlformats.org/officeDocument/2006/relationships/styles" /></Relationships>
</file>