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This Freelance Agreement is entered into between Client and Contractor. The Contractor shall retain ownership of all pre-existing intellectual property.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