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E0" w:rsidRDefault="00B079BF">
      <w:r>
        <w:rPr>
          <w:rFonts w:ascii="Arial" w:hAnsi="Arial" w:cs="Arial"/>
          <w:color w:val="333333"/>
          <w:sz w:val="27"/>
          <w:szCs w:val="27"/>
          <w:shd w:val="clear" w:color="auto" w:fill="FFFFFF"/>
        </w:rPr>
        <w:t>MUMBAI: India is likely to achieve strong growth over the next decade and will overtake</w:t>
      </w:r>
      <w:r>
        <w:rPr>
          <w:rStyle w:val="apple-converted-space"/>
          <w:rFonts w:ascii="Arial" w:hAnsi="Arial" w:cs="Arial"/>
          <w:color w:val="333333"/>
          <w:sz w:val="27"/>
          <w:szCs w:val="27"/>
          <w:shd w:val="clear" w:color="auto" w:fill="FFFFFF"/>
        </w:rPr>
        <w:t> </w:t>
      </w:r>
      <w:hyperlink r:id="rId7" w:history="1">
        <w:r>
          <w:rPr>
            <w:rStyle w:val="Hyperlink"/>
            <w:rFonts w:ascii="Arial" w:hAnsi="Arial" w:cs="Arial"/>
            <w:color w:val="3CA2C8"/>
            <w:sz w:val="27"/>
            <w:szCs w:val="27"/>
            <w:u w:val="none"/>
            <w:shd w:val="clear" w:color="auto" w:fill="FFFFFF"/>
          </w:rPr>
          <w:t>Japan</w:t>
        </w:r>
      </w:hyperlink>
      <w:r>
        <w:rPr>
          <w:rStyle w:val="apple-converted-space"/>
          <w:rFonts w:ascii="Arial" w:hAnsi="Arial" w:cs="Arial"/>
          <w:color w:val="333333"/>
          <w:sz w:val="27"/>
          <w:szCs w:val="27"/>
          <w:shd w:val="clear" w:color="auto" w:fill="FFFFFF"/>
        </w:rPr>
        <w:t> </w:t>
      </w:r>
      <w:r>
        <w:rPr>
          <w:rFonts w:ascii="Arial" w:hAnsi="Arial" w:cs="Arial"/>
          <w:color w:val="333333"/>
          <w:sz w:val="27"/>
          <w:szCs w:val="27"/>
          <w:shd w:val="clear" w:color="auto" w:fill="FFFFFF"/>
        </w:rPr>
        <w:t>in nominal GDP by 2028, to emerge as the world's third largest economy, says a foreign brokerage report.</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The country has already overtaken Brazil and Russia to emerge as the second largest BRIC economy after China and is well on track to cross France and Britain to emerge as the world's fifth largest economy after Germany by 2019.</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"We see India crossing Germany and Japan in nominal GDP in dollar term by 2028. This assumes that the</w:t>
      </w:r>
      <w:r>
        <w:rPr>
          <w:rStyle w:val="apple-converted-space"/>
          <w:rFonts w:ascii="Arial" w:hAnsi="Arial" w:cs="Arial"/>
          <w:color w:val="333333"/>
          <w:sz w:val="27"/>
          <w:szCs w:val="27"/>
          <w:shd w:val="clear" w:color="auto" w:fill="FFFFFF"/>
        </w:rPr>
        <w:t> </w:t>
      </w:r>
      <w:hyperlink r:id="rId8" w:history="1">
        <w:r>
          <w:rPr>
            <w:rStyle w:val="Hyperlink"/>
            <w:rFonts w:ascii="Arial" w:hAnsi="Arial" w:cs="Arial"/>
            <w:color w:val="3CA2C8"/>
            <w:sz w:val="27"/>
            <w:szCs w:val="27"/>
            <w:u w:val="none"/>
            <w:shd w:val="clear" w:color="auto" w:fill="FFFFFF"/>
          </w:rPr>
          <w:t>Indian economy</w:t>
        </w:r>
      </w:hyperlink>
      <w:r>
        <w:rPr>
          <w:rStyle w:val="apple-converted-space"/>
          <w:rFonts w:ascii="Arial" w:hAnsi="Arial" w:cs="Arial"/>
          <w:color w:val="333333"/>
          <w:sz w:val="27"/>
          <w:szCs w:val="27"/>
          <w:shd w:val="clear" w:color="auto" w:fill="FFFFFF"/>
        </w:rPr>
        <w:t> </w:t>
      </w:r>
      <w:r>
        <w:rPr>
          <w:rFonts w:ascii="Arial" w:hAnsi="Arial" w:cs="Arial"/>
          <w:color w:val="333333"/>
          <w:sz w:val="27"/>
          <w:szCs w:val="27"/>
          <w:shd w:val="clear" w:color="auto" w:fill="FFFFFF"/>
        </w:rPr>
        <w:t>grows at 10 per cent (in nominal US GDP) in the next decade, well ahead of Japan's 1.6 per cent," a Bank of America</w:t>
      </w:r>
      <w:r>
        <w:rPr>
          <w:rStyle w:val="apple-converted-space"/>
          <w:rFonts w:ascii="Arial" w:hAnsi="Arial" w:cs="Arial"/>
          <w:color w:val="333333"/>
          <w:sz w:val="27"/>
          <w:szCs w:val="27"/>
          <w:shd w:val="clear" w:color="auto" w:fill="FFFFFF"/>
        </w:rPr>
        <w:t> </w:t>
      </w:r>
      <w:hyperlink r:id="rId9" w:history="1">
        <w:r>
          <w:rPr>
            <w:rStyle w:val="Hyperlink"/>
            <w:rFonts w:ascii="Arial" w:hAnsi="Arial" w:cs="Arial"/>
            <w:color w:val="3CA2C8"/>
            <w:sz w:val="27"/>
            <w:szCs w:val="27"/>
            <w:u w:val="none"/>
            <w:shd w:val="clear" w:color="auto" w:fill="FFFFFF"/>
          </w:rPr>
          <w:t>Merrill Lynch</w:t>
        </w:r>
      </w:hyperlink>
      <w:r>
        <w:rPr>
          <w:rStyle w:val="apple-converted-space"/>
          <w:rFonts w:ascii="Arial" w:hAnsi="Arial" w:cs="Arial"/>
          <w:color w:val="333333"/>
          <w:sz w:val="27"/>
          <w:szCs w:val="27"/>
          <w:shd w:val="clear" w:color="auto" w:fill="FFFFFF"/>
        </w:rPr>
        <w:t> </w:t>
      </w:r>
      <w:r>
        <w:rPr>
          <w:rFonts w:ascii="Arial" w:hAnsi="Arial" w:cs="Arial"/>
          <w:color w:val="333333"/>
          <w:sz w:val="27"/>
          <w:szCs w:val="27"/>
          <w:shd w:val="clear" w:color="auto" w:fill="FFFFFF"/>
        </w:rPr>
        <w:t>report said today.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The American brokerage has conservatively projected the country's real GDP growth at 7 per cent potential.</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Last year the economy closed at $2.26 trillion. But the report did not quantify the size of the economy by 2028 when it would be the third largest after China and the US.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The report titled, 'India 2028: The last BRICK in the Wall', said falling dependency ratios, financial maturity and increasing incomes and affordability are the three key drivers for the country to stand among the large emerging economies.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 xml:space="preserve">"First, falling dependency ratios should raise savings and investment rates. Second, financial maturity, due to financial </w:t>
      </w:r>
      <w:proofErr w:type="spellStart"/>
      <w:r>
        <w:rPr>
          <w:rFonts w:ascii="Arial" w:hAnsi="Arial" w:cs="Arial"/>
          <w:color w:val="333333"/>
          <w:sz w:val="27"/>
          <w:szCs w:val="27"/>
          <w:shd w:val="clear" w:color="auto" w:fill="FFFFFF"/>
        </w:rPr>
        <w:t>liberalisation</w:t>
      </w:r>
      <w:proofErr w:type="spellEnd"/>
      <w:r>
        <w:rPr>
          <w:rFonts w:ascii="Arial" w:hAnsi="Arial" w:cs="Arial"/>
          <w:color w:val="333333"/>
          <w:sz w:val="27"/>
          <w:szCs w:val="27"/>
          <w:shd w:val="clear" w:color="auto" w:fill="FFFFFF"/>
        </w:rPr>
        <w:t xml:space="preserve"> and inclusion, should continue to lower lending rates structurally.</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"Finally, increasing incomes and affordability will likely underpin the emergence of mass markets, supporting an expected 7 per cent real GDP growth," the report said.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 xml:space="preserve">It said the dependency ratio (unproductive population in the 0-14 and over-65 age group) is slated to fall to 46.2 per cent in 2028 from 52.2 per cent now </w:t>
      </w:r>
      <w:r>
        <w:rPr>
          <w:rFonts w:ascii="Arial" w:hAnsi="Arial" w:cs="Arial"/>
          <w:color w:val="333333"/>
          <w:sz w:val="27"/>
          <w:szCs w:val="27"/>
          <w:shd w:val="clear" w:color="auto" w:fill="FFFFFF"/>
        </w:rPr>
        <w:lastRenderedPageBreak/>
        <w:t>and 71.7 per cent in 1990. This should sustain the savings rate at 32 per cent of GDP, at the least, in 2028, comparable to 31.4 per cent during 2000-17, up from 20.5 per cent in the 1980s and the 1990s.</w:t>
      </w:r>
      <w:bookmarkStart w:id="0" w:name="_GoBack"/>
      <w:bookmarkEnd w:id="0"/>
    </w:p>
    <w:sectPr w:rsidR="002673E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9BF" w:rsidRDefault="00B079BF" w:rsidP="00B079BF">
      <w:pPr>
        <w:spacing w:after="0" w:line="240" w:lineRule="auto"/>
      </w:pPr>
      <w:r>
        <w:separator/>
      </w:r>
    </w:p>
  </w:endnote>
  <w:endnote w:type="continuationSeparator" w:id="0">
    <w:p w:rsidR="00B079BF" w:rsidRDefault="00B079BF" w:rsidP="00B0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9BF" w:rsidRDefault="00B07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9BF" w:rsidRDefault="00B079B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6225"/>
              <wp:effectExtent l="0" t="0" r="0" b="9525"/>
              <wp:wrapNone/>
              <wp:docPr id="1" name="MSIPCM3a6b490cb997ee0df77c59bf" descr="{&quot;HashCode&quot;:16970530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622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079BF" w:rsidRPr="00B079BF" w:rsidRDefault="00B079BF" w:rsidP="00B079BF">
                          <w:pPr>
                            <w:spacing w:after="0"/>
                            <w:jc w:val="center"/>
                            <w:rPr>
                              <w:rFonts w:ascii="Calibri" w:hAnsi="Calibri" w:cs="Calibri"/>
                              <w:color w:val="000000"/>
                              <w:sz w:val="20"/>
                            </w:rPr>
                          </w:pPr>
                          <w:r w:rsidRPr="00B079BF">
                            <w:rPr>
                              <w:rFonts w:ascii="Calibri" w:hAnsi="Calibri" w:cs="Calibri"/>
                              <w:color w:val="000000"/>
                              <w:sz w:val="20"/>
                            </w:rPr>
                            <w:t>Restricted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a6b490cb997ee0df77c59bf" o:spid="_x0000_s1026" type="#_x0000_t202" alt="{&quot;HashCode&quot;:169705304,&quot;Height&quot;:792.0,&quot;Width&quot;:612.0,&quot;Placement&quot;:&quot;Footer&quot;,&quot;Index&quot;:&quot;Primary&quot;,&quot;Section&quot;:1,&quot;Top&quot;:0.0,&quot;Left&quot;:0.0}" style="position:absolute;margin-left:0;margin-top:755.45pt;width:612pt;height:21.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" o:allowincell="f" filled="f" stroked="f" strokeweight=".5pt">
              <v:fill o:detectmouseclick="t"/>
              <v:textbox inset=",0,,0">
                <w:txbxContent>
                  <w:p w:rsidR="00B079BF" w:rsidRPr="00B079BF" w:rsidRDefault="00B079BF" w:rsidP="00B079BF">
                    <w:pPr>
                      <w:spacing w:after="0"/>
                      <w:jc w:val="center"/>
                      <w:rPr>
                        <w:rFonts w:ascii="Calibri" w:hAnsi="Calibri" w:cs="Calibri"/>
                        <w:color w:val="000000"/>
                        <w:sz w:val="20"/>
                      </w:rPr>
                    </w:pPr>
                    <w:r w:rsidRPr="00B079BF">
                      <w:rPr>
                        <w:rFonts w:ascii="Calibri" w:hAnsi="Calibri" w:cs="Calibri"/>
                        <w:color w:val="000000"/>
                        <w:sz w:val="20"/>
                      </w:rPr>
                      <w:t>Restricted - 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9BF" w:rsidRDefault="00B07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9BF" w:rsidRDefault="00B079BF" w:rsidP="00B079BF">
      <w:pPr>
        <w:spacing w:after="0" w:line="240" w:lineRule="auto"/>
      </w:pPr>
      <w:r>
        <w:separator/>
      </w:r>
    </w:p>
  </w:footnote>
  <w:footnote w:type="continuationSeparator" w:id="0">
    <w:p w:rsidR="00B079BF" w:rsidRDefault="00B079BF" w:rsidP="00B07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9BF" w:rsidRDefault="00B079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9BF" w:rsidRDefault="00B079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9BF" w:rsidRDefault="00B079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BF"/>
    <w:rsid w:val="00B079BF"/>
    <w:rsid w:val="00BA2E8D"/>
    <w:rsid w:val="00F4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79BF"/>
  </w:style>
  <w:style w:type="character" w:styleId="Hyperlink">
    <w:name w:val="Hyperlink"/>
    <w:basedOn w:val="DefaultParagraphFont"/>
    <w:uiPriority w:val="99"/>
    <w:semiHidden/>
    <w:unhideWhenUsed/>
    <w:rsid w:val="00B079BF"/>
    <w:rPr>
      <w:color w:val="0000FF"/>
      <w:u w:val="single"/>
    </w:rPr>
  </w:style>
  <w:style w:type="paragraph" w:styleId="Header">
    <w:name w:val="header"/>
    <w:basedOn w:val="Normal"/>
    <w:link w:val="HeaderChar"/>
    <w:uiPriority w:val="99"/>
    <w:unhideWhenUsed/>
    <w:rsid w:val="00B07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9BF"/>
  </w:style>
  <w:style w:type="paragraph" w:styleId="Footer">
    <w:name w:val="footer"/>
    <w:basedOn w:val="Normal"/>
    <w:link w:val="FooterChar"/>
    <w:uiPriority w:val="99"/>
    <w:unhideWhenUsed/>
    <w:rsid w:val="00B07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9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79BF"/>
  </w:style>
  <w:style w:type="character" w:styleId="Hyperlink">
    <w:name w:val="Hyperlink"/>
    <w:basedOn w:val="DefaultParagraphFont"/>
    <w:uiPriority w:val="99"/>
    <w:semiHidden/>
    <w:unhideWhenUsed/>
    <w:rsid w:val="00B079BF"/>
    <w:rPr>
      <w:color w:val="0000FF"/>
      <w:u w:val="single"/>
    </w:rPr>
  </w:style>
  <w:style w:type="paragraph" w:styleId="Header">
    <w:name w:val="header"/>
    <w:basedOn w:val="Normal"/>
    <w:link w:val="HeaderChar"/>
    <w:uiPriority w:val="99"/>
    <w:unhideWhenUsed/>
    <w:rsid w:val="00B07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9BF"/>
  </w:style>
  <w:style w:type="paragraph" w:styleId="Footer">
    <w:name w:val="footer"/>
    <w:basedOn w:val="Normal"/>
    <w:link w:val="FooterChar"/>
    <w:uiPriority w:val="99"/>
    <w:unhideWhenUsed/>
    <w:rsid w:val="00B07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topic/Indian-Econom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imesofindia.indiatimes.com/topic/Japan"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imesofindia.indiatimes.com/topic/Merrill-Lync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Thota, Vinay: Barclaycard US</dc:creator>
  <cp:lastModifiedBy>Thota, Vinay: Barclaycard US</cp:lastModifiedBy>
  <cp:revision>1</cp:revision>
  <dcterms:created xsi:type="dcterms:W3CDTF">2017-11-13T21:13:00Z</dcterms:created>
  <dcterms:modified xsi:type="dcterms:W3CDTF">2017-11-13T21:14:00Z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04f687-07a0-4c99-84d8-8587e54227ab_Enabled">
    <vt:lpwstr>True</vt:lpwstr>
  </property>
  <property fmtid="{D5CDD505-2E9C-101B-9397-08002B2CF9AE}" pid="3" name="MSIP_Label_0004f687-07a0-4c99-84d8-8587e54227ab_SiteId">
    <vt:lpwstr>c4b62f1d-01e0-4107-a0cc-5ac886858b23</vt:lpwstr>
  </property>
  <property fmtid="{D5CDD505-2E9C-101B-9397-08002B2CF9AE}" pid="4" name="MSIP_Label_0004f687-07a0-4c99-84d8-8587e54227ab_Ref">
    <vt:lpwstr>https://api.informationprotection.azure.com/api/c4b62f1d-01e0-4107-a0cc-5ac886858b23</vt:lpwstr>
  </property>
  <property fmtid="{D5CDD505-2E9C-101B-9397-08002B2CF9AE}" pid="5" name="MSIP_Label_0004f687-07a0-4c99-84d8-8587e54227ab_Owner">
    <vt:lpwstr>vthota@juniper.com</vt:lpwstr>
  </property>
  <property fmtid="{D5CDD505-2E9C-101B-9397-08002B2CF9AE}" pid="6" name="MSIP_Label_0004f687-07a0-4c99-84d8-8587e54227ab_SetDate">
    <vt:lpwstr>2017-11-13T16:13:53.8699698-05:00</vt:lpwstr>
  </property>
  <property fmtid="{D5CDD505-2E9C-101B-9397-08002B2CF9AE}" pid="7" name="MSIP_Label_0004f687-07a0-4c99-84d8-8587e54227ab_Name">
    <vt:lpwstr>Restricted - Internal</vt:lpwstr>
  </property>
  <property fmtid="{D5CDD505-2E9C-101B-9397-08002B2CF9AE}" pid="8" name="MSIP_Label_0004f687-07a0-4c99-84d8-8587e54227ab_Application">
    <vt:lpwstr>Microsoft Azure Information Protection</vt:lpwstr>
  </property>
  <property fmtid="{D5CDD505-2E9C-101B-9397-08002B2CF9AE}" pid="9" name="MSIP_Label_0004f687-07a0-4c99-84d8-8587e54227ab_Extended_MSFT_Method">
    <vt:lpwstr>Manual</vt:lpwstr>
  </property>
  <property fmtid="{D5CDD505-2E9C-101B-9397-08002B2CF9AE}" pid="10" name="BarclaysDC">
    <vt:lpwstr>Restricted - Internal</vt:lpwstr>
  </property>
</Properties>
</file>