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0bf22f89526822a76a1b5499e7bd2a69c4d1dc1"/>
    <w:p>
      <w:pPr>
        <w:pStyle w:val="Heading1"/>
      </w:pPr>
      <w:r>
        <w:t xml:space="preserve">AI-Based Stock Market Prediction System: Multi-Agent Architecture Design Plan</w:t>
      </w:r>
    </w:p>
    <w:bookmarkStart w:id="26" w:name="overview"/>
    <w:p>
      <w:pPr>
        <w:pStyle w:val="Heading2"/>
      </w:pPr>
      <w:r>
        <w:t xml:space="preserve">Overview</w:t>
      </w:r>
    </w:p>
    <w:p>
      <w:pPr>
        <w:pStyle w:val="FirstParagraph"/>
      </w:pPr>
      <w:r>
        <w:t xml:space="preserve">The proposed system is a multi-agent AI platform to predict short- and medium-term stock price movements by combining diverse data sources: market prices, technical indicators, company financial events, global news, and geopolitical policies. Large Language Models (LLMs) are used to analyze unstructured data (news, social media, reports) and extract sentiment and event features, while traditional models process structured market data. LLMs enable integration of vast datasets (financial metrics, news, social media) into forecasts</w:t>
      </w:r>
      <w:hyperlink r:id="rId21">
        <w:r>
          <w:rPr>
            <w:rStyle w:val="Hyperlink"/>
          </w:rPr>
          <w:t xml:space="preserve">[1]</w:t>
        </w:r>
      </w:hyperlink>
      <w:r>
        <w:t xml:space="preserve">, converting previously overlooked text into actionable signals. Feature engineering includes technical indicators, sentiment scores, and event flags to capture market mood</w:t>
      </w:r>
      <w:hyperlink r:id="rId22">
        <w:r>
          <w:rPr>
            <w:rStyle w:val="Hyperlink"/>
          </w:rPr>
          <w:t xml:space="preserve">[2]</w:t>
        </w:r>
      </w:hyperlink>
      <w:hyperlink r:id="rId23">
        <w:r>
          <w:rPr>
            <w:rStyle w:val="Hyperlink"/>
          </w:rPr>
          <w:t xml:space="preserve">[3]</w:t>
        </w:r>
      </w:hyperlink>
      <w:r>
        <w:t xml:space="preserve">. The architecture uses independent agents (microservices) for tasks like news scraping, sentiment analysis, and policy monitoring, which improves scalability and specialization</w:t>
      </w:r>
      <w:hyperlink r:id="rId24">
        <w:r>
          <w:rPr>
            <w:rStyle w:val="Hyperlink"/>
          </w:rPr>
          <w:t xml:space="preserve">[4]</w:t>
        </w:r>
      </w:hyperlink>
      <w:hyperlink r:id="rId25">
        <w:r>
          <w:rPr>
            <w:rStyle w:val="Hyperlink"/>
          </w:rPr>
          <w:t xml:space="preserve">[5]</w:t>
        </w:r>
      </w:hyperlink>
      <w:r>
        <w:t xml:space="preserve">.</w:t>
      </w:r>
    </w:p>
    <w:bookmarkEnd w:id="26"/>
    <w:bookmarkStart w:id="27" w:name="architecture"/>
    <w:p>
      <w:pPr>
        <w:pStyle w:val="Heading2"/>
      </w:pPr>
      <w:r>
        <w:t xml:space="preserve">Architecture</w:t>
      </w:r>
    </w:p>
    <w:p>
      <w:pPr>
        <w:pStyle w:val="FirstParagraph"/>
      </w:pPr>
      <w:r>
        <w:t xml:space="preserve">The system architecture is modular and event-driven. Each component (scraper, analysis agent, model engine, API) runs as an independent service, often coordinated via message queues or an orchestrator. For example, a central</w:t>
      </w:r>
      <w:r>
        <w:t xml:space="preserve"> </w:t>
      </w:r>
      <w:r>
        <w:rPr>
          <w:b/>
          <w:bCs/>
        </w:rPr>
        <w:t xml:space="preserve">Orchestrator</w:t>
      </w:r>
      <w:r>
        <w:t xml:space="preserve"> </w:t>
      </w:r>
      <w:r>
        <w:t xml:space="preserve">agent can route tasks or aggregate sub-agent outputs, akin to designs in recent multi-agent trading frameworks</w:t>
      </w:r>
      <w:hyperlink r:id="rId24">
        <w:r>
          <w:rPr>
            <w:rStyle w:val="Hyperlink"/>
          </w:rPr>
          <w:t xml:space="preserve">[4]</w:t>
        </w:r>
      </w:hyperlink>
      <w:r>
        <w:t xml:space="preserve">. Data flows from ingestion agents into a shared data layer (databases or event bus) and then into predictive models. Microservices communicate via APIs or events, and containerization allows horizontal scaling and fault isolation. This separation of concerns (e.g. separate news and technical analysis agents) improves robustness and parallelism. Prior work shows specialized agents (fundamental vs sentiment vs technical analysts) that debate and integrate findings to improve decisions</w:t>
      </w:r>
      <w:hyperlink r:id="rId24">
        <w:r>
          <w:rPr>
            <w:rStyle w:val="Hyperlink"/>
          </w:rPr>
          <w:t xml:space="preserve">[4]</w:t>
        </w:r>
      </w:hyperlink>
      <w:r>
        <w:t xml:space="preserve">. A front-end API (built with FastAPI) handles user prediction requests and orchestrates backend agents and models.</w:t>
      </w:r>
    </w:p>
    <w:bookmarkEnd w:id="27"/>
    <w:bookmarkStart w:id="30" w:name="agent-design"/>
    <w:p>
      <w:pPr>
        <w:pStyle w:val="Heading2"/>
      </w:pPr>
      <w:r>
        <w:t xml:space="preserve">Agent Design</w:t>
      </w:r>
    </w:p>
    <w:p>
      <w:pPr>
        <w:pStyle w:val="FirstParagraph"/>
      </w:pPr>
      <w:r>
        <w:t xml:space="preserve">The system includes dedicated agents for each data source and analysis task:</w:t>
      </w:r>
    </w:p>
    <w:p>
      <w:pPr>
        <w:numPr>
          <w:ilvl w:val="0"/>
          <w:numId w:val="1001"/>
        </w:numPr>
      </w:pPr>
      <w:r>
        <w:rPr>
          <w:b/>
          <w:bCs/>
        </w:rPr>
        <w:t xml:space="preserve">News Scraping Agent:</w:t>
      </w:r>
      <w:r>
        <w:t xml:space="preserve"> </w:t>
      </w:r>
      <w:r>
        <w:t xml:space="preserve">Continuously gathers global financial news and geopolitical updates from sources (RSS feeds, news APIs, targeted websites). It normalizes and timestamps articles, filtering them by relevance to tracked companies and policy topics. A robust scraper uses asynchronous crawling with rate limits and error handling to avoid downtime. All collected text is stored for later analysis (with metadata like publication time, source, and related tickers).</w:t>
      </w:r>
    </w:p>
    <w:p>
      <w:pPr>
        <w:numPr>
          <w:ilvl w:val="0"/>
          <w:numId w:val="1001"/>
        </w:numPr>
      </w:pPr>
      <w:r>
        <w:rPr>
          <w:b/>
          <w:bCs/>
        </w:rPr>
        <w:t xml:space="preserve">LLM Analysis Agent:</w:t>
      </w:r>
      <w:r>
        <w:t xml:space="preserve"> </w:t>
      </w:r>
      <w:r>
        <w:t xml:space="preserve">Processes text from the scraper (news, reports, transcripts) using a Large Language Model. It generates sentiment scores (e.g. positive/negative polarity) and extracts key entities/events, and may summarize content. For example, one framework builds chains of posts and comments and uses an LLM to infer sentiment and a buy/sell indicator</w:t>
      </w:r>
      <w:hyperlink r:id="rId28">
        <w:r>
          <w:rPr>
            <w:rStyle w:val="Hyperlink"/>
          </w:rPr>
          <w:t xml:space="preserve">[6]</w:t>
        </w:r>
      </w:hyperlink>
      <w:r>
        <w:t xml:space="preserve">. Our agent similarly produces features such as</w:t>
      </w:r>
      <w:r>
        <w:t xml:space="preserve"> </w:t>
      </w:r>
      <w:r>
        <w:rPr>
          <w:b/>
          <w:bCs/>
        </w:rPr>
        <w:t xml:space="preserve">NewsSentimentScore</w:t>
      </w:r>
      <w:r>
        <w:t xml:space="preserve"> </w:t>
      </w:r>
      <w:r>
        <w:t xml:space="preserve">and</w:t>
      </w:r>
      <w:r>
        <w:t xml:space="preserve"> </w:t>
      </w:r>
      <w:r>
        <w:rPr>
          <w:b/>
          <w:bCs/>
        </w:rPr>
        <w:t xml:space="preserve">PolicyImpactScore</w:t>
      </w:r>
      <w:r>
        <w:t xml:space="preserve">. It can also categorize events (e.g. “tariff”, “earnings beat”, “sanction imposed”) and link them to affected sectors or tickers, potentially updating a knowledge graph.</w:t>
      </w:r>
    </w:p>
    <w:p>
      <w:pPr>
        <w:numPr>
          <w:ilvl w:val="0"/>
          <w:numId w:val="1001"/>
        </w:numPr>
      </w:pPr>
      <w:r>
        <w:rPr>
          <w:b/>
          <w:bCs/>
        </w:rPr>
        <w:t xml:space="preserve">Technical Indicator Agent:</w:t>
      </w:r>
      <w:r>
        <w:t xml:space="preserve"> </w:t>
      </w:r>
      <w:r>
        <w:t xml:space="preserve">Uses historical price/volume data to compute features like moving averages (SMA, EMA), momentum (RSI, MACD), Bollinger Bands, and various oscillators. It refreshes these on each new price tick or end-of-day. The agent supports multiple timeframes (short-term vs medium-term indicators) to capture trends at different scales. It also flags technical patterns (breakouts, trend channels) using rule-based or machine learning detectors. All indicator values are stored in the feature database for model consumption.</w:t>
      </w:r>
    </w:p>
    <w:p>
      <w:pPr>
        <w:numPr>
          <w:ilvl w:val="0"/>
          <w:numId w:val="1001"/>
        </w:numPr>
      </w:pPr>
      <w:r>
        <w:rPr>
          <w:b/>
          <w:bCs/>
        </w:rPr>
        <w:t xml:space="preserve">Volatility Analysis Agent:</w:t>
      </w:r>
      <w:r>
        <w:t xml:space="preserve"> </w:t>
      </w:r>
      <w:r>
        <w:t xml:space="preserve">Models market volatility regimes. It computes realized volatility (e.g. rolling standard deviation of returns) and may fit models like GARCH or use EWMA for variance forecasts. It identifies high-volatility vs low-volatility states, which become regime flags. In practice, volatility often clusters and decays slowly, so this agent also tracks a</w:t>
      </w:r>
      <w:r>
        <w:t xml:space="preserve"> </w:t>
      </w:r>
      <w:r>
        <w:rPr>
          <w:b/>
          <w:bCs/>
        </w:rPr>
        <w:t xml:space="preserve">volatility decay</w:t>
      </w:r>
      <w:r>
        <w:t xml:space="preserve"> </w:t>
      </w:r>
      <w:r>
        <w:t xml:space="preserve">feature (e.g. how quickly volatility is reverting to mean). Separate features or models can be enabled for different volatility regimes to improve robustness during turbulent markets</w:t>
      </w:r>
      <w:hyperlink r:id="rId29">
        <w:r>
          <w:rPr>
            <w:rStyle w:val="Hyperlink"/>
          </w:rPr>
          <w:t xml:space="preserve">[7]</w:t>
        </w:r>
      </w:hyperlink>
      <w:r>
        <w:t xml:space="preserve">.</w:t>
      </w:r>
    </w:p>
    <w:p>
      <w:pPr>
        <w:numPr>
          <w:ilvl w:val="0"/>
          <w:numId w:val="1001"/>
        </w:numPr>
      </w:pPr>
      <w:r>
        <w:rPr>
          <w:b/>
          <w:bCs/>
        </w:rPr>
        <w:t xml:space="preserve">Geo-Policy Event Agent:</w:t>
      </w:r>
      <w:r>
        <w:t xml:space="preserve"> </w:t>
      </w:r>
      <w:r>
        <w:t xml:space="preserve">Monitors geopolitical and policy news (e.g. trade deals, sanctions, tariff announcements). It may scrape government press releases, trade publications, or specialized news feeds. Using keyword filters and possibly an LLM, it identifies relevant policy events. Each event is encoded (e.g. binary flags or embedding vectors) and linked to affected industries or companies, often via the knowledge graph. This agent ensures that new policy actions are quickly recognized as features affecting predictions.</w:t>
      </w:r>
    </w:p>
    <w:p>
      <w:pPr>
        <w:numPr>
          <w:ilvl w:val="0"/>
          <w:numId w:val="1001"/>
        </w:numPr>
      </w:pPr>
      <w:r>
        <w:rPr>
          <w:b/>
          <w:bCs/>
        </w:rPr>
        <w:t xml:space="preserve">Signal Aggregator (Orchestrator) Agent:</w:t>
      </w:r>
      <w:r>
        <w:t xml:space="preserve"> </w:t>
      </w:r>
      <w:r>
        <w:t xml:space="preserve">Collects outputs from all other agents (features, interim signals) and combines them into trading signals. It may use its own logic or an LLM to weigh and synthesize inputs. For instance, it could apply decaying weights to older signals for short-horizon predictions, a technique used in systems like TradingGPT</w:t>
      </w:r>
      <w:hyperlink r:id="rId25">
        <w:r>
          <w:rPr>
            <w:rStyle w:val="Hyperlink"/>
          </w:rPr>
          <w:t xml:space="preserve">[5]</w:t>
        </w:r>
      </w:hyperlink>
      <w:r>
        <w:t xml:space="preserve">. The Orchestrator might execute an explicit “optimist vs pessimist” debate workflow (as in some LangChain examples) or use an ensemble of models. Its final output is a coherent</w:t>
      </w:r>
      <w:r>
        <w:t xml:space="preserve"> </w:t>
      </w:r>
      <w:r>
        <w:rPr>
          <w:b/>
          <w:bCs/>
        </w:rPr>
        <w:t xml:space="preserve">Buy/Hold/Sell</w:t>
      </w:r>
      <w:r>
        <w:t xml:space="preserve"> </w:t>
      </w:r>
      <w:r>
        <w:t xml:space="preserve">recommendation (with confidence) per ticker and horizon.</w:t>
      </w:r>
    </w:p>
    <w:bookmarkEnd w:id="30"/>
    <w:bookmarkStart w:id="34" w:name="data-storage-and-management"/>
    <w:p>
      <w:pPr>
        <w:pStyle w:val="Heading2"/>
      </w:pPr>
      <w:r>
        <w:t xml:space="preserve">Data Storage and Management</w:t>
      </w:r>
    </w:p>
    <w:p>
      <w:pPr>
        <w:pStyle w:val="FirstParagraph"/>
      </w:pPr>
      <w:r>
        <w:t xml:space="preserve">The system requires robust storage for different data types:</w:t>
      </w:r>
    </w:p>
    <w:p>
      <w:pPr>
        <w:numPr>
          <w:ilvl w:val="0"/>
          <w:numId w:val="1002"/>
        </w:numPr>
      </w:pPr>
      <w:r>
        <w:rPr>
          <w:b/>
          <w:bCs/>
        </w:rPr>
        <w:t xml:space="preserve">PostgreSQL (with TimescaleDB):</w:t>
      </w:r>
      <w:r>
        <w:t xml:space="preserve"> </w:t>
      </w:r>
      <w:r>
        <w:t xml:space="preserve">All structured data (price history, technical indicators, financial events, agent logs) is stored in PostgreSQL. Extending PostgreSQL with TimescaleDB hypertables allows automatic partitioning by time (and optionally by symbol) to speed up queries on recent data</w:t>
      </w:r>
      <w:hyperlink r:id="rId31">
        <w:r>
          <w:rPr>
            <w:rStyle w:val="Hyperlink"/>
          </w:rPr>
          <w:t xml:space="preserve">[8]</w:t>
        </w:r>
      </w:hyperlink>
      <w:r>
        <w:t xml:space="preserve">. For example, chunking stock data into weekly or daily intervals greatly improves query performance while new data is ingested. TimescaleDB also supports retention policies (e.g. drop per-minute data after 30 days), which conserves storage. Using SQL ensures ACID compliance and makes it easy to query and join diverse tables.</w:t>
      </w:r>
    </w:p>
    <w:p>
      <w:pPr>
        <w:numPr>
          <w:ilvl w:val="0"/>
          <w:numId w:val="1002"/>
        </w:numPr>
      </w:pPr>
      <w:r>
        <w:rPr>
          <w:b/>
          <w:bCs/>
        </w:rPr>
        <w:t xml:space="preserve">Vector Database / Embedding Store:</w:t>
      </w:r>
      <w:r>
        <w:t xml:space="preserve"> </w:t>
      </w:r>
      <w:r>
        <w:t xml:space="preserve">Textual data and events from the LLM agent are converted into vector embeddings (using models like OpenAI or HuggingFace). These embeddings are stored in a vector database (e.g. Pinecone, Weaviate) or in PostgreSQL via the</w:t>
      </w:r>
      <w:r>
        <w:t xml:space="preserve"> </w:t>
      </w:r>
      <w:r>
        <w:rPr>
          <w:b/>
          <w:bCs/>
        </w:rPr>
        <w:t xml:space="preserve">pgvector</w:t>
      </w:r>
      <w:r>
        <w:t xml:space="preserve"> </w:t>
      </w:r>
      <w:r>
        <w:t xml:space="preserve">extension</w:t>
      </w:r>
      <w:hyperlink r:id="rId32">
        <w:r>
          <w:rPr>
            <w:rStyle w:val="Hyperlink"/>
          </w:rPr>
          <w:t xml:space="preserve">[9]</w:t>
        </w:r>
      </w:hyperlink>
      <w:r>
        <w:t xml:space="preserve">. A vector DB enables fast semantic search – for example, finding past news articles similar to a current event. PostgreSQL+pgvector lets you “store embeddings as a native vector type” and run nearest-neighbor searches in SQL</w:t>
      </w:r>
      <w:hyperlink r:id="rId32">
        <w:r>
          <w:rPr>
            <w:rStyle w:val="Hyperlink"/>
          </w:rPr>
          <w:t xml:space="preserve">[9]</w:t>
        </w:r>
      </w:hyperlink>
      <w:r>
        <w:t xml:space="preserve">. This can help agents retrieve relevant documents or match events.</w:t>
      </w:r>
    </w:p>
    <w:p>
      <w:pPr>
        <w:numPr>
          <w:ilvl w:val="0"/>
          <w:numId w:val="1002"/>
        </w:numPr>
      </w:pPr>
      <w:r>
        <w:rPr>
          <w:b/>
          <w:bCs/>
        </w:rPr>
        <w:t xml:space="preserve">Graph Database:</w:t>
      </w:r>
      <w:r>
        <w:t xml:space="preserve"> </w:t>
      </w:r>
      <w:r>
        <w:t xml:space="preserve">An optional graph database (e.g. Neo4j, TigerGraph) captures relationships among entities: companies, sectors, government bodies, macro indicators, etc. A knowledge graph allows complex queries like “which companies share suppliers impacted by this policy?”. Graph storage makes these relationships explicit, as shown by systems that use market graphs for AI reasoning</w:t>
      </w:r>
      <w:hyperlink r:id="rId33">
        <w:r>
          <w:rPr>
            <w:rStyle w:val="Hyperlink"/>
          </w:rPr>
          <w:t xml:space="preserve">[10]</w:t>
        </w:r>
      </w:hyperlink>
      <w:r>
        <w:t xml:space="preserve">. Nodes represent entities (stocks, policies, events) and edges represent relations (supplier-of, regulated-by, co-mentions). Agents can query the graph to infer indirect effects; for example, a sanction node might connect to companies in a sector node.</w:t>
      </w:r>
    </w:p>
    <w:p>
      <w:pPr>
        <w:numPr>
          <w:ilvl w:val="0"/>
          <w:numId w:val="1002"/>
        </w:numPr>
      </w:pPr>
      <w:r>
        <w:rPr>
          <w:b/>
          <w:bCs/>
        </w:rPr>
        <w:t xml:space="preserve">Feature Store:</w:t>
      </w:r>
      <w:r>
        <w:t xml:space="preserve"> </w:t>
      </w:r>
      <w:r>
        <w:t xml:space="preserve">Intermediate features generated by agents (technical indicators, sentiment scores, event flags) should be stored or versioned in a feature store schema. This ensures reproducibility between training and inference. The feature store indexes features by symbol and timestamp, making it efficient for the model to retrieve a feature vector at prediction time.</w:t>
      </w:r>
    </w:p>
    <w:bookmarkEnd w:id="34"/>
    <w:bookmarkStart w:id="35" w:name="fastapi-backend-and-api-design"/>
    <w:p>
      <w:pPr>
        <w:pStyle w:val="Heading2"/>
      </w:pPr>
      <w:r>
        <w:t xml:space="preserve">FastAPI Backend and API Design</w:t>
      </w:r>
    </w:p>
    <w:p>
      <w:pPr>
        <w:pStyle w:val="FirstParagraph"/>
      </w:pPr>
      <w:r>
        <w:t xml:space="preserve">A FastAPI backend serves prediction and backtesting requests and exposes signals to clients. FastAPI is chosen for its performance and built-in OpenAPI docs. Key API endpoints include:</w:t>
      </w:r>
    </w:p>
    <w:p>
      <w:pPr>
        <w:numPr>
          <w:ilvl w:val="0"/>
          <w:numId w:val="1003"/>
        </w:numPr>
      </w:pPr>
      <w:r>
        <w:rPr>
          <w:rStyle w:val="VerbatimChar"/>
          <w:b/>
          <w:bCs/>
        </w:rPr>
        <w:t xml:space="preserve">POST /predict</w:t>
      </w:r>
      <w:r>
        <w:rPr>
          <w:b/>
          <w:bCs/>
        </w:rPr>
        <w:t xml:space="preserve">:</w:t>
      </w:r>
      <w:r>
        <w:t xml:space="preserve"> </w:t>
      </w:r>
      <w:r>
        <w:t xml:space="preserve">Request a stock price prediction or signal. Input JSON may specify the stock ticker, prediction horizon (e.g. 1 day or 7 days), and optional parameters. The server fetches the latest features for that ticker, runs the model (or queries the agents), and returns a JSON response. For example, a request might be:</w:t>
      </w:r>
    </w:p>
    <w:p>
      <w:pPr>
        <w:pStyle w:val="SourceCode"/>
        <w:numPr>
          <w:ilvl w:val="0"/>
          <w:numId w:val="1000"/>
        </w:numPr>
      </w:pPr>
      <w:r>
        <w:rPr>
          <w:rStyle w:val="VerbatimChar"/>
        </w:rPr>
        <w:t xml:space="preserve">{</w:t>
      </w:r>
      <w:r>
        <w:br/>
      </w:r>
      <w:r>
        <w:rPr>
          <w:rStyle w:val="VerbatimChar"/>
        </w:rPr>
        <w:t xml:space="preserve">  "ticker": "AAPL",</w:t>
      </w:r>
      <w:r>
        <w:br/>
      </w:r>
      <w:r>
        <w:rPr>
          <w:rStyle w:val="VerbatimChar"/>
        </w:rPr>
        <w:t xml:space="preserve">  "horizon_days": 7</w:t>
      </w:r>
      <w:r>
        <w:br/>
      </w:r>
      <w:r>
        <w:rPr>
          <w:rStyle w:val="VerbatimChar"/>
        </w:rPr>
        <w:t xml:space="preserve">}</w:t>
      </w:r>
    </w:p>
    <w:p>
      <w:pPr>
        <w:numPr>
          <w:ilvl w:val="0"/>
          <w:numId w:val="1000"/>
        </w:numPr>
      </w:pPr>
      <w:r>
        <w:t xml:space="preserve">and the response could be:</w:t>
      </w:r>
    </w:p>
    <w:p>
      <w:pPr>
        <w:pStyle w:val="SourceCode"/>
        <w:numPr>
          <w:ilvl w:val="0"/>
          <w:numId w:val="1000"/>
        </w:numPr>
      </w:pPr>
      <w:r>
        <w:rPr>
          <w:rStyle w:val="VerbatimChar"/>
        </w:rPr>
        <w:t xml:space="preserve">{</w:t>
      </w:r>
      <w:r>
        <w:br/>
      </w:r>
      <w:r>
        <w:rPr>
          <w:rStyle w:val="VerbatimChar"/>
        </w:rPr>
        <w:t xml:space="preserve">  "ticker": "AAPL",</w:t>
      </w:r>
      <w:r>
        <w:br/>
      </w:r>
      <w:r>
        <w:rPr>
          <w:rStyle w:val="VerbatimChar"/>
        </w:rPr>
        <w:t xml:space="preserve">  "timestamp": "2025-02-28T15:30:00Z",</w:t>
      </w:r>
      <w:r>
        <w:br/>
      </w:r>
      <w:r>
        <w:rPr>
          <w:rStyle w:val="VerbatimChar"/>
        </w:rPr>
        <w:t xml:space="preserve">  "prediction": {</w:t>
      </w:r>
      <w:r>
        <w:br/>
      </w:r>
      <w:r>
        <w:rPr>
          <w:rStyle w:val="VerbatimChar"/>
        </w:rPr>
        <w:t xml:space="preserve">    "signal": "BUY",</w:t>
      </w:r>
      <w:r>
        <w:br/>
      </w:r>
      <w:r>
        <w:rPr>
          <w:rStyle w:val="VerbatimChar"/>
        </w:rPr>
        <w:t xml:space="preserve">    "expected_return_pct": 1.8,</w:t>
      </w:r>
      <w:r>
        <w:br/>
      </w:r>
      <w:r>
        <w:rPr>
          <w:rStyle w:val="VerbatimChar"/>
        </w:rPr>
        <w:t xml:space="preserve">    "confidence": 0.85</w:t>
      </w:r>
      <w:r>
        <w:br/>
      </w:r>
      <w:r>
        <w:rPr>
          <w:rStyle w:val="VerbatimChar"/>
        </w:rPr>
        <w:t xml:space="preserve">  },</w:t>
      </w:r>
      <w:r>
        <w:br/>
      </w:r>
      <w:r>
        <w:rPr>
          <w:rStyle w:val="VerbatimChar"/>
        </w:rPr>
        <w:t xml:space="preserve">  "features": {</w:t>
      </w:r>
      <w:r>
        <w:br/>
      </w:r>
      <w:r>
        <w:rPr>
          <w:rStyle w:val="VerbatimChar"/>
        </w:rPr>
        <w:t xml:space="preserve">    "SMA_5": 173.4,</w:t>
      </w:r>
      <w:r>
        <w:br/>
      </w:r>
      <w:r>
        <w:rPr>
          <w:rStyle w:val="VerbatimChar"/>
        </w:rPr>
        <w:t xml:space="preserve">    "SMA_20": 170.2,</w:t>
      </w:r>
      <w:r>
        <w:br/>
      </w:r>
      <w:r>
        <w:rPr>
          <w:rStyle w:val="VerbatimChar"/>
        </w:rPr>
        <w:t xml:space="preserve">    "RSI_14": 62.1,</w:t>
      </w:r>
      <w:r>
        <w:br/>
      </w:r>
      <w:r>
        <w:rPr>
          <w:rStyle w:val="VerbatimChar"/>
        </w:rPr>
        <w:t xml:space="preserve">    "NewsSentimentScore": 0.31,</w:t>
      </w:r>
      <w:r>
        <w:br/>
      </w:r>
      <w:r>
        <w:rPr>
          <w:rStyle w:val="VerbatimChar"/>
        </w:rPr>
        <w:t xml:space="preserve">    "VolatilityRegime": "HIGH"</w:t>
      </w:r>
      <w:r>
        <w:br/>
      </w:r>
      <w:r>
        <w:rPr>
          <w:rStyle w:val="VerbatimChar"/>
        </w:rPr>
        <w:t xml:space="preserve">  }</w:t>
      </w:r>
      <w:r>
        <w:br/>
      </w:r>
      <w:r>
        <w:rPr>
          <w:rStyle w:val="VerbatimChar"/>
        </w:rPr>
        <w:t xml:space="preserve">}</w:t>
      </w:r>
    </w:p>
    <w:p>
      <w:pPr>
        <w:numPr>
          <w:ilvl w:val="0"/>
          <w:numId w:val="1000"/>
        </w:numPr>
      </w:pPr>
      <w:r>
        <w:t xml:space="preserve">The JSON schema is defined via Pydantic models for validation.</w:t>
      </w:r>
    </w:p>
    <w:p>
      <w:pPr>
        <w:numPr>
          <w:ilvl w:val="0"/>
          <w:numId w:val="1003"/>
        </w:numPr>
      </w:pPr>
      <w:r>
        <w:rPr>
          <w:rStyle w:val="VerbatimChar"/>
          <w:b/>
          <w:bCs/>
        </w:rPr>
        <w:t xml:space="preserve">POST /backtest</w:t>
      </w:r>
      <w:r>
        <w:rPr>
          <w:b/>
          <w:bCs/>
        </w:rPr>
        <w:t xml:space="preserve">:</w:t>
      </w:r>
      <w:r>
        <w:t xml:space="preserve"> </w:t>
      </w:r>
      <w:r>
        <w:t xml:space="preserve">Run a backtest of a specified strategy or parameter set. Input JSON could include the strategy ID or rules, date range, initial capital, and cost assumptions. For example:</w:t>
      </w:r>
    </w:p>
    <w:p>
      <w:pPr>
        <w:pStyle w:val="SourceCode"/>
        <w:numPr>
          <w:ilvl w:val="0"/>
          <w:numId w:val="1000"/>
        </w:numPr>
      </w:pPr>
      <w:r>
        <w:rPr>
          <w:rStyle w:val="VerbatimChar"/>
        </w:rPr>
        <w:t xml:space="preserve">{</w:t>
      </w:r>
      <w:r>
        <w:br/>
      </w:r>
      <w:r>
        <w:rPr>
          <w:rStyle w:val="VerbatimChar"/>
        </w:rPr>
        <w:t xml:space="preserve">  "strategy": "MACD_News",</w:t>
      </w:r>
      <w:r>
        <w:br/>
      </w:r>
      <w:r>
        <w:rPr>
          <w:rStyle w:val="VerbatimChar"/>
        </w:rPr>
        <w:t xml:space="preserve">  "start_date": "2021-01-01",</w:t>
      </w:r>
      <w:r>
        <w:br/>
      </w:r>
      <w:r>
        <w:rPr>
          <w:rStyle w:val="VerbatimChar"/>
        </w:rPr>
        <w:t xml:space="preserve">  "end_date": "2024-12-31",</w:t>
      </w:r>
      <w:r>
        <w:br/>
      </w:r>
      <w:r>
        <w:rPr>
          <w:rStyle w:val="VerbatimChar"/>
        </w:rPr>
        <w:t xml:space="preserve">  "initial_capital": 100000,</w:t>
      </w:r>
      <w:r>
        <w:br/>
      </w:r>
      <w:r>
        <w:rPr>
          <w:rStyle w:val="VerbatimChar"/>
        </w:rPr>
        <w:t xml:space="preserve">  "commission": 0.001</w:t>
      </w:r>
      <w:r>
        <w:br/>
      </w:r>
      <w:r>
        <w:rPr>
          <w:rStyle w:val="VerbatimChar"/>
        </w:rPr>
        <w:t xml:space="preserve">}</w:t>
      </w:r>
    </w:p>
    <w:p>
      <w:pPr>
        <w:numPr>
          <w:ilvl w:val="0"/>
          <w:numId w:val="1000"/>
        </w:numPr>
      </w:pPr>
      <w:r>
        <w:t xml:space="preserve">The response returns performance metrics and possibly a list of executed trades:</w:t>
      </w:r>
    </w:p>
    <w:p>
      <w:pPr>
        <w:pStyle w:val="SourceCode"/>
        <w:numPr>
          <w:ilvl w:val="0"/>
          <w:numId w:val="1000"/>
        </w:numPr>
      </w:pPr>
      <w:r>
        <w:rPr>
          <w:rStyle w:val="VerbatimChar"/>
        </w:rPr>
        <w:t xml:space="preserve">{</w:t>
      </w:r>
      <w:r>
        <w:br/>
      </w:r>
      <w:r>
        <w:rPr>
          <w:rStyle w:val="VerbatimChar"/>
        </w:rPr>
        <w:t xml:space="preserve">  "strategy": "MACD_News",</w:t>
      </w:r>
      <w:r>
        <w:br/>
      </w:r>
      <w:r>
        <w:rPr>
          <w:rStyle w:val="VerbatimChar"/>
        </w:rPr>
        <w:t xml:space="preserve">  "sharpe_ratio": 1.45,</w:t>
      </w:r>
      <w:r>
        <w:br/>
      </w:r>
      <w:r>
        <w:rPr>
          <w:rStyle w:val="VerbatimChar"/>
        </w:rPr>
        <w:t xml:space="preserve">  "max_drawdown": 0.12,</w:t>
      </w:r>
      <w:r>
        <w:br/>
      </w:r>
      <w:r>
        <w:rPr>
          <w:rStyle w:val="VerbatimChar"/>
        </w:rPr>
        <w:t xml:space="preserve">  "total_return_pct": 35.2,</w:t>
      </w:r>
      <w:r>
        <w:br/>
      </w:r>
      <w:r>
        <w:rPr>
          <w:rStyle w:val="VerbatimChar"/>
        </w:rPr>
        <w:t xml:space="preserve">  "trades_executed": 128</w:t>
      </w:r>
      <w:r>
        <w:br/>
      </w:r>
      <w:r>
        <w:rPr>
          <w:rStyle w:val="VerbatimChar"/>
        </w:rPr>
        <w:t xml:space="preserve">}</w:t>
      </w:r>
    </w:p>
    <w:p>
      <w:pPr>
        <w:numPr>
          <w:ilvl w:val="0"/>
          <w:numId w:val="1000"/>
        </w:numPr>
      </w:pPr>
      <w:r>
        <w:t xml:space="preserve">This enables clients to analyze historical strategy performance programmatically.</w:t>
      </w:r>
    </w:p>
    <w:p>
      <w:pPr>
        <w:pStyle w:val="FirstParagraph"/>
      </w:pPr>
      <w:r>
        <w:t xml:space="preserve">The FastAPI service should validate inputs, authenticate users if needed, and log all requests and responses. It will retrieve required data (features, model weights) from the database and invoke the prediction logic. Using asynchronous endpoints allows handling many simultaneous prediction requests. In production, FastAPI runs under Uvicorn/Gunicorn with multiple worker processes for scalability.</w:t>
      </w:r>
    </w:p>
    <w:bookmarkEnd w:id="35"/>
    <w:bookmarkStart w:id="36" w:name="feature-engineering"/>
    <w:p>
      <w:pPr>
        <w:pStyle w:val="Heading2"/>
      </w:pPr>
      <w:r>
        <w:t xml:space="preserve">Feature Engineering</w:t>
      </w:r>
    </w:p>
    <w:p>
      <w:pPr>
        <w:pStyle w:val="FirstParagraph"/>
      </w:pPr>
      <w:r>
        <w:t xml:space="preserve">A comprehensive feature set is critical. We combine technical, sentiment, event-based, and time-based features:</w:t>
      </w:r>
    </w:p>
    <w:p>
      <w:pPr>
        <w:numPr>
          <w:ilvl w:val="0"/>
          <w:numId w:val="1004"/>
        </w:numPr>
      </w:pPr>
      <w:r>
        <w:rPr>
          <w:b/>
          <w:bCs/>
        </w:rPr>
        <w:t xml:space="preserve">Technical Features:</w:t>
      </w:r>
      <w:r>
        <w:t xml:space="preserve"> </w:t>
      </w:r>
      <w:r>
        <w:t xml:space="preserve">Classic indicators computed over multiple windows (short and medium term). Examples include Moving Averages (MA5, MA20), Relative Strength Index (RSI), Moving Average Convergence Divergence (MACD), Bollinger Band width, momentum, and volume-based ratios. Including multiple timeframes (e.g. 3-day vs 30-day averages) helps capture both short-term and longer trends. Features should be scaled appropriately (e.g. normalization or percentiles) before modeling.</w:t>
      </w:r>
    </w:p>
    <w:p>
      <w:pPr>
        <w:numPr>
          <w:ilvl w:val="0"/>
          <w:numId w:val="1004"/>
        </w:numPr>
      </w:pPr>
      <w:r>
        <w:rPr>
          <w:b/>
          <w:bCs/>
        </w:rPr>
        <w:t xml:space="preserve">Sentiment &amp; Text Features:</w:t>
      </w:r>
      <w:r>
        <w:t xml:space="preserve"> </w:t>
      </w:r>
      <w:r>
        <w:t xml:space="preserve">Derived from the LLM analysis agent. These include sentiment polarity scores (positive/negative), sentiment momentum (recent change in sentiment), and other textual scores (e.g. a “news impact” score). For example, one pipeline might compute a</w:t>
      </w:r>
      <w:r>
        <w:t xml:space="preserve"> </w:t>
      </w:r>
      <w:r>
        <w:rPr>
          <w:b/>
          <w:bCs/>
        </w:rPr>
        <w:t xml:space="preserve">NewsSentimentScore</w:t>
      </w:r>
      <w:r>
        <w:t xml:space="preserve"> </w:t>
      </w:r>
      <w:r>
        <w:t xml:space="preserve">by averaging sentiment of recent headlines</w:t>
      </w:r>
      <w:hyperlink r:id="rId22">
        <w:r>
          <w:rPr>
            <w:rStyle w:val="Hyperlink"/>
          </w:rPr>
          <w:t xml:space="preserve">[2]</w:t>
        </w:r>
      </w:hyperlink>
      <w:r>
        <w:t xml:space="preserve">. Embedding-based features (e.g. the similarity of current news to historically bullish vs bearish news) can also be fed into models. All text features must be aligned in time so that only past information contributes (avoiding look-ahead bias).</w:t>
      </w:r>
    </w:p>
    <w:p>
      <w:pPr>
        <w:numPr>
          <w:ilvl w:val="0"/>
          <w:numId w:val="1004"/>
        </w:numPr>
      </w:pPr>
      <w:r>
        <w:rPr>
          <w:b/>
          <w:bCs/>
        </w:rPr>
        <w:t xml:space="preserve">Event &amp; Policy Features:</w:t>
      </w:r>
      <w:r>
        <w:t xml:space="preserve"> </w:t>
      </w:r>
      <w:r>
        <w:t xml:space="preserve">Binary or categorical flags for discrete events. For example,</w:t>
      </w:r>
      <w:r>
        <w:t xml:space="preserve"> </w:t>
      </w:r>
      <w:r>
        <w:rPr>
          <w:rStyle w:val="VerbatimChar"/>
        </w:rPr>
        <w:t xml:space="preserve">EarningsAnnouncement</w:t>
      </w:r>
      <w:r>
        <w:t xml:space="preserve"> </w:t>
      </w:r>
      <w:r>
        <w:t xml:space="preserve">= 1 on days a company reports earnings, or</w:t>
      </w:r>
      <w:r>
        <w:t xml:space="preserve"> </w:t>
      </w:r>
      <w:r>
        <w:rPr>
          <w:rStyle w:val="VerbatimChar"/>
        </w:rPr>
        <w:t xml:space="preserve">TariffEvent</w:t>
      </w:r>
      <w:r>
        <w:t xml:space="preserve"> </w:t>
      </w:r>
      <w:r>
        <w:t xml:space="preserve">= 1 when a new trade tariff is announced. Some features might encode the</w:t>
      </w:r>
      <w:r>
        <w:t xml:space="preserve"> </w:t>
      </w:r>
      <w:r>
        <w:rPr>
          <w:b/>
          <w:bCs/>
        </w:rPr>
        <w:t xml:space="preserve">type</w:t>
      </w:r>
      <w:r>
        <w:t xml:space="preserve"> </w:t>
      </w:r>
      <w:r>
        <w:t xml:space="preserve">of event (e.g. -1 for negative events, +1 for positive) or the</w:t>
      </w:r>
      <w:r>
        <w:t xml:space="preserve"> </w:t>
      </w:r>
      <w:r>
        <w:rPr>
          <w:b/>
          <w:bCs/>
        </w:rPr>
        <w:t xml:space="preserve">magnitude</w:t>
      </w:r>
      <w:r>
        <w:t xml:space="preserve"> </w:t>
      </w:r>
      <w:r>
        <w:t xml:space="preserve">of expected impact. Crucially, timestamps of events must be handled so that features activate only after an event is</w:t>
      </w:r>
      <w:r>
        <w:t xml:space="preserve"> </w:t>
      </w:r>
      <w:r>
        <w:rPr>
          <w:i/>
          <w:iCs/>
        </w:rPr>
        <w:t xml:space="preserve">announced</w:t>
      </w:r>
      <w:r>
        <w:t xml:space="preserve"> </w:t>
      </w:r>
      <w:r>
        <w:t xml:space="preserve">(no peeking). This prevents data leakage</w:t>
      </w:r>
      <w:hyperlink r:id="rId29">
        <w:r>
          <w:rPr>
            <w:rStyle w:val="Hyperlink"/>
          </w:rPr>
          <w:t xml:space="preserve">[7]</w:t>
        </w:r>
      </w:hyperlink>
      <w:r>
        <w:t xml:space="preserve">. Incorporate geopolitical events similarly (e.g. a binary feature for “new sanctions against country X”).</w:t>
      </w:r>
    </w:p>
    <w:p>
      <w:pPr>
        <w:numPr>
          <w:ilvl w:val="0"/>
          <w:numId w:val="1004"/>
        </w:numPr>
      </w:pPr>
      <w:r>
        <w:rPr>
          <w:b/>
          <w:bCs/>
        </w:rPr>
        <w:t xml:space="preserve">Time and Seasonal Features:</w:t>
      </w:r>
      <w:r>
        <w:t xml:space="preserve"> </w:t>
      </w:r>
      <w:r>
        <w:t xml:space="preserve">Include calendar-based features (day of week, month, quarter) and encode cyclical patterns (e.g. using sine/cosine transforms). Financial time series often exhibit seasonality (e.g. end-of-quarter rebalancing, holiday effects). Including these can help models capture regular patterns.</w:t>
      </w:r>
    </w:p>
    <w:p>
      <w:pPr>
        <w:numPr>
          <w:ilvl w:val="0"/>
          <w:numId w:val="1004"/>
        </w:numPr>
      </w:pPr>
      <w:r>
        <w:rPr>
          <w:b/>
          <w:bCs/>
        </w:rPr>
        <w:t xml:space="preserve">Time-Horizon Decay &amp; Regime Features:</w:t>
      </w:r>
      <w:r>
        <w:t xml:space="preserve"> </w:t>
      </w:r>
      <w:r>
        <w:t xml:space="preserve">We explicitly account for the prediction horizon. For short-term forecasts, recent data may be more relevant. One approach is to apply exponential decay to feature values or signals, so that very old events have diminishing weight for near-term predictions. Some multi-agent systems even incorporate memory decay layers to handle multi-horizon forecasting</w:t>
      </w:r>
      <w:hyperlink r:id="rId25">
        <w:r>
          <w:rPr>
            <w:rStyle w:val="Hyperlink"/>
          </w:rPr>
          <w:t xml:space="preserve">[5]</w:t>
        </w:r>
      </w:hyperlink>
      <w:r>
        <w:t xml:space="preserve">. Additionally, include features representing the current market regime, such as a</w:t>
      </w:r>
      <w:r>
        <w:t xml:space="preserve"> </w:t>
      </w:r>
      <w:r>
        <w:rPr>
          <w:b/>
          <w:bCs/>
        </w:rPr>
        <w:t xml:space="preserve">VolatilityRegime</w:t>
      </w:r>
      <w:r>
        <w:t xml:space="preserve"> </w:t>
      </w:r>
      <w:r>
        <w:t xml:space="preserve">flag (high/low), so that the model can adapt if the market environment is unusually turbulent or calm. Models may perform differently in bull vs bear markets; capturing regime shifts explicitly helps maintain performance</w:t>
      </w:r>
      <w:hyperlink r:id="rId29">
        <w:r>
          <w:rPr>
            <w:rStyle w:val="Hyperlink"/>
          </w:rPr>
          <w:t xml:space="preserve">[7]</w:t>
        </w:r>
      </w:hyperlink>
      <w:r>
        <w:t xml:space="preserve">.</w:t>
      </w:r>
    </w:p>
    <w:p>
      <w:pPr>
        <w:numPr>
          <w:ilvl w:val="0"/>
          <w:numId w:val="1004"/>
        </w:numPr>
      </w:pPr>
      <w:r>
        <w:rPr>
          <w:b/>
          <w:bCs/>
        </w:rPr>
        <w:t xml:space="preserve">Feature Selection and Validation:</w:t>
      </w:r>
      <w:r>
        <w:t xml:space="preserve"> </w:t>
      </w:r>
      <w:r>
        <w:t xml:space="preserve">Given many features, use feature selection (e.g. tree-based importance or regularization) to avoid overfitting. Remove highly correlated features or redundant ones. Always test features for look-ahead bias (ensuring they use only past data) and check performance stability across out-of-sample periods</w:t>
      </w:r>
      <w:hyperlink r:id="rId29">
        <w:r>
          <w:rPr>
            <w:rStyle w:val="Hyperlink"/>
          </w:rPr>
          <w:t xml:space="preserve">[7]</w:t>
        </w:r>
      </w:hyperlink>
      <w:r>
        <w:t xml:space="preserve">.</w:t>
      </w:r>
    </w:p>
    <w:bookmarkEnd w:id="36"/>
    <w:bookmarkStart w:id="41" w:name="backtesting-framework"/>
    <w:p>
      <w:pPr>
        <w:pStyle w:val="Heading2"/>
      </w:pPr>
      <w:r>
        <w:t xml:space="preserve">Backtesting Framework</w:t>
      </w:r>
    </w:p>
    <w:p>
      <w:pPr>
        <w:pStyle w:val="FirstParagraph"/>
      </w:pPr>
      <w:r>
        <w:t xml:space="preserve">A robust backtesting setup is essential to validate signals before going live. The framework should:</w:t>
      </w:r>
    </w:p>
    <w:p>
      <w:pPr>
        <w:pStyle w:val="Compact"/>
        <w:numPr>
          <w:ilvl w:val="0"/>
          <w:numId w:val="1005"/>
        </w:numPr>
      </w:pPr>
      <w:r>
        <w:rPr>
          <w:b/>
          <w:bCs/>
        </w:rPr>
        <w:t xml:space="preserve">Simulate Historical Trades:</w:t>
      </w:r>
      <w:r>
        <w:t xml:space="preserve"> </w:t>
      </w:r>
      <w:r>
        <w:t xml:space="preserve">Replay historical price and event data, applying the system’s signals as if in real time. For each time step, only use data available up to that moment. Generate buy/sell orders based on model outputs and track positions and P&amp;L.</w:t>
      </w:r>
    </w:p>
    <w:p>
      <w:pPr>
        <w:pStyle w:val="Compact"/>
        <w:numPr>
          <w:ilvl w:val="0"/>
          <w:numId w:val="1005"/>
        </w:numPr>
      </w:pPr>
      <w:r>
        <w:rPr>
          <w:b/>
          <w:bCs/>
        </w:rPr>
        <w:t xml:space="preserve">Avoid Backtest Biases:</w:t>
      </w:r>
      <w:r>
        <w:t xml:space="preserve"> </w:t>
      </w:r>
      <w:r>
        <w:t xml:space="preserve">Rigorously prevent look-ahead bias and survivorship bias. Ensure that no future information (price or events after the signal time) is used in signal generation</w:t>
      </w:r>
      <w:hyperlink r:id="rId37">
        <w:r>
          <w:rPr>
            <w:rStyle w:val="Hyperlink"/>
          </w:rPr>
          <w:t xml:space="preserve">[11]</w:t>
        </w:r>
      </w:hyperlink>
      <w:r>
        <w:t xml:space="preserve">. Use complete historical datasets that include delisted symbols to avoid survivorship bias</w:t>
      </w:r>
      <w:hyperlink r:id="rId38">
        <w:r>
          <w:rPr>
            <w:rStyle w:val="Hyperlink"/>
          </w:rPr>
          <w:t xml:space="preserve">[12]</w:t>
        </w:r>
      </w:hyperlink>
      <w:r>
        <w:t xml:space="preserve">. Audit the code and data pipeline for any inadvertent leaks of future data.</w:t>
      </w:r>
    </w:p>
    <w:p>
      <w:pPr>
        <w:pStyle w:val="Compact"/>
        <w:numPr>
          <w:ilvl w:val="0"/>
          <w:numId w:val="1005"/>
        </w:numPr>
      </w:pPr>
      <w:r>
        <w:rPr>
          <w:b/>
          <w:bCs/>
        </w:rPr>
        <w:t xml:space="preserve">Realistic Trading Assumptions:</w:t>
      </w:r>
      <w:r>
        <w:t xml:space="preserve"> </w:t>
      </w:r>
      <w:r>
        <w:t xml:space="preserve">Include transaction costs (commissions, fees), slippage, and liquidity constraints. Ignoring these can vastly overstate returns</w:t>
      </w:r>
      <w:hyperlink r:id="rId39">
        <w:r>
          <w:rPr>
            <w:rStyle w:val="Hyperlink"/>
          </w:rPr>
          <w:t xml:space="preserve">[13]</w:t>
        </w:r>
      </w:hyperlink>
      <w:r>
        <w:t xml:space="preserve">. For example, apply a small per-trade commission and simulate partial fills in low-liquidity scenarios. Support configuring lot sizes or minimum trade sizes.</w:t>
      </w:r>
    </w:p>
    <w:p>
      <w:pPr>
        <w:pStyle w:val="Compact"/>
        <w:numPr>
          <w:ilvl w:val="0"/>
          <w:numId w:val="1005"/>
        </w:numPr>
      </w:pPr>
      <w:r>
        <w:rPr>
          <w:b/>
          <w:bCs/>
        </w:rPr>
        <w:t xml:space="preserve">Evaluation Metrics:</w:t>
      </w:r>
      <w:r>
        <w:t xml:space="preserve"> </w:t>
      </w:r>
      <w:r>
        <w:t xml:space="preserve">Compute performance metrics such as total return, annualized</w:t>
      </w:r>
      <w:r>
        <w:t xml:space="preserve"> </w:t>
      </w:r>
      <w:r>
        <w:rPr>
          <w:b/>
          <w:bCs/>
        </w:rPr>
        <w:t xml:space="preserve">Sharpe Ratio</w:t>
      </w:r>
      <w:r>
        <w:t xml:space="preserve">, maximum drawdown, win/loss ratio, and turnover. Logging trade-by-trade details helps analyze strategy behavior. Summarize results in standardized reports (as JSON or CSV) for review.</w:t>
      </w:r>
    </w:p>
    <w:p>
      <w:pPr>
        <w:pStyle w:val="Compact"/>
        <w:numPr>
          <w:ilvl w:val="0"/>
          <w:numId w:val="1005"/>
        </w:numPr>
      </w:pPr>
      <w:r>
        <w:rPr>
          <w:b/>
          <w:bCs/>
        </w:rPr>
        <w:t xml:space="preserve">Cross-Validation:</w:t>
      </w:r>
      <w:r>
        <w:t xml:space="preserve"> </w:t>
      </w:r>
      <w:r>
        <w:t xml:space="preserve">Test strategies across multiple market regimes. Use walk-forward (rolling window) validation, retraining the model periodically. Do not cherry-pick only up markets; include stress periods (e.g. 2008, 2020) to check strategy resilience</w:t>
      </w:r>
      <w:hyperlink r:id="rId40">
        <w:r>
          <w:rPr>
            <w:rStyle w:val="Hyperlink"/>
          </w:rPr>
          <w:t xml:space="preserve">[14]</w:t>
        </w:r>
      </w:hyperlink>
      <w:r>
        <w:t xml:space="preserve">. Ensure the strategy would have reasonable performance in both bull and bear conditions.</w:t>
      </w:r>
    </w:p>
    <w:p>
      <w:pPr>
        <w:pStyle w:val="Compact"/>
        <w:numPr>
          <w:ilvl w:val="0"/>
          <w:numId w:val="1005"/>
        </w:numPr>
      </w:pPr>
      <w:r>
        <w:rPr>
          <w:b/>
          <w:bCs/>
        </w:rPr>
        <w:t xml:space="preserve">Best Practices:</w:t>
      </w:r>
      <w:r>
        <w:t xml:space="preserve"> </w:t>
      </w:r>
      <w:r>
        <w:t xml:space="preserve">Start with a clear hypothesis for each strategy. Track all backtests run to avoid multiple-testing bias. Use metrics like</w:t>
      </w:r>
      <w:r>
        <w:t xml:space="preserve"> </w:t>
      </w:r>
      <w:r>
        <w:rPr>
          <w:b/>
          <w:bCs/>
        </w:rPr>
        <w:t xml:space="preserve">Deflated Sharpe Ratio</w:t>
      </w:r>
      <w:r>
        <w:t xml:space="preserve"> </w:t>
      </w:r>
      <w:r>
        <w:t xml:space="preserve">if many trials were conducted. The goal of backtesting is to simulate real-world trading conditions as closely as possible</w:t>
      </w:r>
      <w:hyperlink r:id="rId37">
        <w:r>
          <w:rPr>
            <w:rStyle w:val="Hyperlink"/>
          </w:rPr>
          <w:t xml:space="preserve">[11]</w:t>
        </w:r>
      </w:hyperlink>
      <w:hyperlink r:id="rId40">
        <w:r>
          <w:rPr>
            <w:rStyle w:val="Hyperlink"/>
          </w:rPr>
          <w:t xml:space="preserve">[14]</w:t>
        </w:r>
      </w:hyperlink>
      <w:r>
        <w:t xml:space="preserve">.</w:t>
      </w:r>
    </w:p>
    <w:bookmarkEnd w:id="41"/>
    <w:bookmarkStart w:id="43" w:name="risk-modeling"/>
    <w:p>
      <w:pPr>
        <w:pStyle w:val="Heading2"/>
      </w:pPr>
      <w:r>
        <w:t xml:space="preserve">Risk Modeling</w:t>
      </w:r>
    </w:p>
    <w:p>
      <w:pPr>
        <w:pStyle w:val="FirstParagraph"/>
      </w:pPr>
      <w:r>
        <w:t xml:space="preserve">In addition to returns, quantify and control risk:</w:t>
      </w:r>
    </w:p>
    <w:p>
      <w:pPr>
        <w:pStyle w:val="Compact"/>
        <w:numPr>
          <w:ilvl w:val="0"/>
          <w:numId w:val="1006"/>
        </w:numPr>
      </w:pPr>
      <w:r>
        <w:rPr>
          <w:b/>
          <w:bCs/>
        </w:rPr>
        <w:t xml:space="preserve">Position Sizing:</w:t>
      </w:r>
      <w:r>
        <w:t xml:space="preserve"> </w:t>
      </w:r>
      <w:r>
        <w:t xml:space="preserve">Determine trade sizes based on risk budget. For example, limit each trade to a fixed percentage of portfolio or use volatility-adjusted sizing (smaller positions on high-volatility stocks). This prevents any single signal from risking too much capital.</w:t>
      </w:r>
    </w:p>
    <w:p>
      <w:pPr>
        <w:pStyle w:val="Compact"/>
        <w:numPr>
          <w:ilvl w:val="0"/>
          <w:numId w:val="1006"/>
        </w:numPr>
      </w:pPr>
      <w:r>
        <w:rPr>
          <w:b/>
          <w:bCs/>
        </w:rPr>
        <w:t xml:space="preserve">Portfolio VaR/CVaR:</w:t>
      </w:r>
      <w:r>
        <w:t xml:space="preserve"> </w:t>
      </w:r>
      <w:r>
        <w:t xml:space="preserve">Compute portfolio-level Value-at-Risk (VaR) or Conditional VaR to estimate potential losses over a chosen horizon. Use historical simulation or parametric methods. For instance, calculate daily 95% VaR based on historical return distribution.</w:t>
      </w:r>
    </w:p>
    <w:p>
      <w:pPr>
        <w:pStyle w:val="Compact"/>
        <w:numPr>
          <w:ilvl w:val="0"/>
          <w:numId w:val="1006"/>
        </w:numPr>
      </w:pPr>
      <w:r>
        <w:rPr>
          <w:b/>
          <w:bCs/>
        </w:rPr>
        <w:t xml:space="preserve">Diversification Checks:</w:t>
      </w:r>
      <w:r>
        <w:t xml:space="preserve"> </w:t>
      </w:r>
      <w:r>
        <w:t xml:space="preserve">Monitor correlation among held positions. Using the knowledge graph or sector tags, detect hidden links between assets. Graph-based analysis can reveal if seemingly uncorrelated stocks share common exposures (e.g. same supplier chain)</w:t>
      </w:r>
      <w:hyperlink r:id="rId42">
        <w:r>
          <w:rPr>
            <w:rStyle w:val="Hyperlink"/>
          </w:rPr>
          <w:t xml:space="preserve">[15]</w:t>
        </w:r>
      </w:hyperlink>
      <w:r>
        <w:t xml:space="preserve">. Enforce rules or optimization (e.g. risk parity) to avoid over-concentration in one cluster.</w:t>
      </w:r>
    </w:p>
    <w:p>
      <w:pPr>
        <w:pStyle w:val="Compact"/>
        <w:numPr>
          <w:ilvl w:val="0"/>
          <w:numId w:val="1006"/>
        </w:numPr>
      </w:pPr>
      <w:r>
        <w:rPr>
          <w:b/>
          <w:bCs/>
        </w:rPr>
        <w:t xml:space="preserve">Stress Testing:</w:t>
      </w:r>
      <w:r>
        <w:t xml:space="preserve"> </w:t>
      </w:r>
      <w:r>
        <w:t xml:space="preserve">Perform scenario analysis by shocking key variables (e.g. a sudden interest rate hike or a geopolitical event) and simulating the impact on portfolio. This can identify vulnerabilities. Historical stress events (e.g. 2008 crash, 2020 COVID drop) can be replayed to measure strategy drawdown.</w:t>
      </w:r>
    </w:p>
    <w:p>
      <w:pPr>
        <w:pStyle w:val="Compact"/>
        <w:numPr>
          <w:ilvl w:val="0"/>
          <w:numId w:val="1006"/>
        </w:numPr>
      </w:pPr>
      <w:r>
        <w:rPr>
          <w:b/>
          <w:bCs/>
        </w:rPr>
        <w:t xml:space="preserve">Drawdown and Exposure Limits:</w:t>
      </w:r>
      <w:r>
        <w:t xml:space="preserve"> </w:t>
      </w:r>
      <w:r>
        <w:t xml:space="preserve">Set thresholds for maximum allowed drawdown or single-day loss. If breached, trigger protective actions (like pausing trading or reducing leverage). Track</w:t>
      </w:r>
      <w:r>
        <w:t xml:space="preserve"> </w:t>
      </w:r>
      <w:r>
        <w:rPr>
          <w:i/>
          <w:iCs/>
        </w:rPr>
        <w:t xml:space="preserve">maximum drawdown</w:t>
      </w:r>
      <w:r>
        <w:t xml:space="preserve"> </w:t>
      </w:r>
      <w:r>
        <w:t xml:space="preserve">during backtests as a key metric.</w:t>
      </w:r>
    </w:p>
    <w:bookmarkEnd w:id="43"/>
    <w:bookmarkStart w:id="45" w:name="signal-explainability"/>
    <w:p>
      <w:pPr>
        <w:pStyle w:val="Heading2"/>
      </w:pPr>
      <w:r>
        <w:t xml:space="preserve">Signal Explainability</w:t>
      </w:r>
    </w:p>
    <w:p>
      <w:pPr>
        <w:pStyle w:val="FirstParagraph"/>
      </w:pPr>
      <w:r>
        <w:t xml:space="preserve">For trust and compliance, the system must explain its signals:</w:t>
      </w:r>
    </w:p>
    <w:p>
      <w:pPr>
        <w:pStyle w:val="Compact"/>
        <w:numPr>
          <w:ilvl w:val="0"/>
          <w:numId w:val="1007"/>
        </w:numPr>
      </w:pPr>
      <w:r>
        <w:rPr>
          <w:b/>
          <w:bCs/>
        </w:rPr>
        <w:t xml:space="preserve">Feature Attribution:</w:t>
      </w:r>
      <w:r>
        <w:t xml:space="preserve"> </w:t>
      </w:r>
      <w:r>
        <w:t xml:space="preserve">Use model-agnostic tools (SHAP, LIME) on the prediction model to identify which features drove each decision. For example, provide the top contributing features (e.g. RSI was high, sentiment was positive) and their impact on the signal.</w:t>
      </w:r>
    </w:p>
    <w:p>
      <w:pPr>
        <w:pStyle w:val="Compact"/>
        <w:numPr>
          <w:ilvl w:val="0"/>
          <w:numId w:val="1007"/>
        </w:numPr>
      </w:pPr>
      <w:r>
        <w:rPr>
          <w:b/>
          <w:bCs/>
        </w:rPr>
        <w:t xml:space="preserve">Agent-Level Transparency:</w:t>
      </w:r>
      <w:r>
        <w:t xml:space="preserve"> </w:t>
      </w:r>
      <w:r>
        <w:t xml:space="preserve">Each agent should record its rationale. For instance, the LLM agent can log its top extracted sentiments or entities, and the volatility agent can label the regime. The orchestrator can compile these logs into a human-readable explanation. For example:</w:t>
      </w:r>
      <w:r>
        <w:t xml:space="preserve"> </w:t>
      </w:r>
      <w:r>
        <w:rPr>
          <w:i/>
          <w:iCs/>
        </w:rPr>
        <w:t xml:space="preserve">“Buy XYZ because its news sentiment is strongly positive, RSI indicates momentum, and no adverse events were detected.”</w:t>
      </w:r>
    </w:p>
    <w:p>
      <w:pPr>
        <w:pStyle w:val="Compact"/>
        <w:numPr>
          <w:ilvl w:val="0"/>
          <w:numId w:val="1007"/>
        </w:numPr>
      </w:pPr>
      <w:r>
        <w:rPr>
          <w:b/>
          <w:bCs/>
        </w:rPr>
        <w:t xml:space="preserve">Graph-Based Reasoning:</w:t>
      </w:r>
      <w:r>
        <w:t xml:space="preserve"> </w:t>
      </w:r>
      <w:r>
        <w:t xml:space="preserve">If using a knowledge graph, generate explanation paths. As one analysis notes, a graph-aware system can output reasons like “Buy ABC because sector liquidity is rising, supplier network is strong, and macro indicators are favorable”</w:t>
      </w:r>
      <w:hyperlink r:id="rId44">
        <w:r>
          <w:rPr>
            <w:rStyle w:val="Hyperlink"/>
          </w:rPr>
          <w:t xml:space="preserve">[16]</w:t>
        </w:r>
      </w:hyperlink>
      <w:r>
        <w:t xml:space="preserve">. The system can traverse the graph from the stock node through connected factor nodes to form a narrative.</w:t>
      </w:r>
    </w:p>
    <w:p>
      <w:pPr>
        <w:pStyle w:val="Compact"/>
        <w:numPr>
          <w:ilvl w:val="0"/>
          <w:numId w:val="1007"/>
        </w:numPr>
      </w:pPr>
      <w:r>
        <w:rPr>
          <w:b/>
          <w:bCs/>
        </w:rPr>
        <w:t xml:space="preserve">Historical Signal Review:</w:t>
      </w:r>
      <w:r>
        <w:t xml:space="preserve"> </w:t>
      </w:r>
      <w:r>
        <w:t xml:space="preserve">Provide recent prediction history. Showing a sequence of past signals and outcomes helps users gauge stability. A volatile signal stream may warrant retraining or model adjustment.</w:t>
      </w:r>
    </w:p>
    <w:bookmarkEnd w:id="45"/>
    <w:bookmarkStart w:id="46" w:name="deployment-and-scalability"/>
    <w:p>
      <w:pPr>
        <w:pStyle w:val="Heading2"/>
      </w:pPr>
      <w:r>
        <w:t xml:space="preserve">Deployment and Scalability</w:t>
      </w:r>
    </w:p>
    <w:p>
      <w:pPr>
        <w:pStyle w:val="FirstParagraph"/>
      </w:pPr>
      <w:r>
        <w:t xml:space="preserve">To run in production:</w:t>
      </w:r>
    </w:p>
    <w:p>
      <w:pPr>
        <w:pStyle w:val="Compact"/>
        <w:numPr>
          <w:ilvl w:val="0"/>
          <w:numId w:val="1008"/>
        </w:numPr>
      </w:pPr>
      <w:r>
        <w:rPr>
          <w:b/>
          <w:bCs/>
        </w:rPr>
        <w:t xml:space="preserve">Containerization:</w:t>
      </w:r>
      <w:r>
        <w:t xml:space="preserve"> </w:t>
      </w:r>
      <w:r>
        <w:t xml:space="preserve">Package each agent and service in Docker containers for consistent deployment. Use orchestration platforms (Kubernetes, Docker Swarm) to manage replicas and auto-restart on failure.</w:t>
      </w:r>
    </w:p>
    <w:p>
      <w:pPr>
        <w:pStyle w:val="Compact"/>
        <w:numPr>
          <w:ilvl w:val="0"/>
          <w:numId w:val="1008"/>
        </w:numPr>
      </w:pPr>
      <w:r>
        <w:rPr>
          <w:b/>
          <w:bCs/>
        </w:rPr>
        <w:t xml:space="preserve">Scaling:</w:t>
      </w:r>
      <w:r>
        <w:t xml:space="preserve"> </w:t>
      </w:r>
      <w:r>
        <w:t xml:space="preserve">Deploy on cloud or on-prem clusters. Autoscale components as needed (e.g. spin up more instances of the news scraper during market open hours). Use asynchronous programming (FastAPI’s async support, Celery tasks) to maximize throughput.</w:t>
      </w:r>
    </w:p>
    <w:p>
      <w:pPr>
        <w:pStyle w:val="Compact"/>
        <w:numPr>
          <w:ilvl w:val="0"/>
          <w:numId w:val="1008"/>
        </w:numPr>
      </w:pPr>
      <w:r>
        <w:rPr>
          <w:b/>
          <w:bCs/>
        </w:rPr>
        <w:t xml:space="preserve">Workflow Orchestration:</w:t>
      </w:r>
      <w:r>
        <w:t xml:space="preserve"> </w:t>
      </w:r>
      <w:r>
        <w:t xml:space="preserve">Employ tools like Airflow or Prefect to schedule periodic jobs (e.g. nightly data updates, model retraining). Alternatively, use event-driven triggers (e.g. Kafka events, database triggers) to run agents when new data arrives.</w:t>
      </w:r>
    </w:p>
    <w:p>
      <w:pPr>
        <w:pStyle w:val="Compact"/>
        <w:numPr>
          <w:ilvl w:val="0"/>
          <w:numId w:val="1008"/>
        </w:numPr>
      </w:pPr>
      <w:r>
        <w:rPr>
          <w:b/>
          <w:bCs/>
        </w:rPr>
        <w:t xml:space="preserve">Monitoring:</w:t>
      </w:r>
      <w:r>
        <w:t xml:space="preserve"> </w:t>
      </w:r>
      <w:r>
        <w:t xml:space="preserve">Implement logging and monitoring. Use Prometheus/Grafana or a managed service to track metrics (API latency, error rates, model drift, resource usage). Set up alerts for anomalies (e.g. scraping failures, data lag).</w:t>
      </w:r>
    </w:p>
    <w:p>
      <w:pPr>
        <w:pStyle w:val="Compact"/>
        <w:numPr>
          <w:ilvl w:val="0"/>
          <w:numId w:val="1008"/>
        </w:numPr>
      </w:pPr>
      <w:r>
        <w:rPr>
          <w:b/>
          <w:bCs/>
        </w:rPr>
        <w:t xml:space="preserve">CI/CD:</w:t>
      </w:r>
      <w:r>
        <w:t xml:space="preserve"> </w:t>
      </w:r>
      <w:r>
        <w:t xml:space="preserve">Automate testing and deployment. Maintain infrastructure-as-code (Terraform, Kubernetes manifests). Run unit tests on data-processing code and integration tests on API endpoints. Version-control all configurations.</w:t>
      </w:r>
    </w:p>
    <w:p>
      <w:pPr>
        <w:pStyle w:val="Compact"/>
        <w:numPr>
          <w:ilvl w:val="0"/>
          <w:numId w:val="1008"/>
        </w:numPr>
      </w:pPr>
      <w:r>
        <w:rPr>
          <w:b/>
          <w:bCs/>
        </w:rPr>
        <w:t xml:space="preserve">Security and Compliance:</w:t>
      </w:r>
      <w:r>
        <w:t xml:space="preserve"> </w:t>
      </w:r>
      <w:r>
        <w:t xml:space="preserve">Secure APIs (OAuth, API keys, TLS). Limit access to data stores. Safeguard API credentials (for news sources, embeddings) and comply with data usage policies. Ensure the model adheres to trading regulations (e.g. no front-running).</w:t>
      </w:r>
    </w:p>
    <w:bookmarkEnd w:id="46"/>
    <w:bookmarkStart w:id="47" w:name="json-example-payloads"/>
    <w:p>
      <w:pPr>
        <w:pStyle w:val="Heading2"/>
      </w:pPr>
      <w:r>
        <w:t xml:space="preserve">JSON Example Payloads</w:t>
      </w:r>
    </w:p>
    <w:p>
      <w:pPr>
        <w:pStyle w:val="FirstParagraph"/>
      </w:pPr>
      <w:r>
        <w:t xml:space="preserve">Sample JSON for API requests/responses (as shown above) helps developers integrate with the system. For instance, a</w:t>
      </w:r>
      <w:r>
        <w:t xml:space="preserve"> </w:t>
      </w:r>
      <w:r>
        <w:rPr>
          <w:b/>
          <w:bCs/>
        </w:rPr>
        <w:t xml:space="preserve">prediction</w:t>
      </w:r>
      <w:r>
        <w:t xml:space="preserve"> </w:t>
      </w:r>
      <w:r>
        <w:t xml:space="preserve">request might look like:</w:t>
      </w:r>
    </w:p>
    <w:p>
      <w:pPr>
        <w:pStyle w:val="SourceCode"/>
      </w:pPr>
      <w:r>
        <w:rPr>
          <w:rStyle w:val="VerbatimChar"/>
        </w:rPr>
        <w:t xml:space="preserve">{</w:t>
      </w:r>
      <w:r>
        <w:br/>
      </w:r>
      <w:r>
        <w:rPr>
          <w:rStyle w:val="VerbatimChar"/>
        </w:rPr>
        <w:t xml:space="preserve">  "ticker": "AAPL",</w:t>
      </w:r>
      <w:r>
        <w:br/>
      </w:r>
      <w:r>
        <w:rPr>
          <w:rStyle w:val="VerbatimChar"/>
        </w:rPr>
        <w:t xml:space="preserve">  "horizon_days": 7</w:t>
      </w:r>
      <w:r>
        <w:br/>
      </w:r>
      <w:r>
        <w:rPr>
          <w:rStyle w:val="VerbatimChar"/>
        </w:rPr>
        <w:t xml:space="preserve">}</w:t>
      </w:r>
    </w:p>
    <w:p>
      <w:pPr>
        <w:pStyle w:val="FirstParagraph"/>
      </w:pPr>
      <w:r>
        <w:t xml:space="preserve">with response:</w:t>
      </w:r>
    </w:p>
    <w:p>
      <w:pPr>
        <w:pStyle w:val="SourceCode"/>
      </w:pPr>
      <w:r>
        <w:rPr>
          <w:rStyle w:val="VerbatimChar"/>
        </w:rPr>
        <w:t xml:space="preserve">{</w:t>
      </w:r>
      <w:r>
        <w:br/>
      </w:r>
      <w:r>
        <w:rPr>
          <w:rStyle w:val="VerbatimChar"/>
        </w:rPr>
        <w:t xml:space="preserve">  "ticker": "AAPL",</w:t>
      </w:r>
      <w:r>
        <w:br/>
      </w:r>
      <w:r>
        <w:rPr>
          <w:rStyle w:val="VerbatimChar"/>
        </w:rPr>
        <w:t xml:space="preserve">  "timestamp": "2025-02-28T15:30:00Z",</w:t>
      </w:r>
      <w:r>
        <w:br/>
      </w:r>
      <w:r>
        <w:rPr>
          <w:rStyle w:val="VerbatimChar"/>
        </w:rPr>
        <w:t xml:space="preserve">  "prediction": {</w:t>
      </w:r>
      <w:r>
        <w:br/>
      </w:r>
      <w:r>
        <w:rPr>
          <w:rStyle w:val="VerbatimChar"/>
        </w:rPr>
        <w:t xml:space="preserve">    "signal": "BUY",</w:t>
      </w:r>
      <w:r>
        <w:br/>
      </w:r>
      <w:r>
        <w:rPr>
          <w:rStyle w:val="VerbatimChar"/>
        </w:rPr>
        <w:t xml:space="preserve">    "expected_return_pct": 1.8,</w:t>
      </w:r>
      <w:r>
        <w:br/>
      </w:r>
      <w:r>
        <w:rPr>
          <w:rStyle w:val="VerbatimChar"/>
        </w:rPr>
        <w:t xml:space="preserve">    "confidence": 0.85</w:t>
      </w:r>
      <w:r>
        <w:br/>
      </w:r>
      <w:r>
        <w:rPr>
          <w:rStyle w:val="VerbatimChar"/>
        </w:rPr>
        <w:t xml:space="preserve">  },</w:t>
      </w:r>
      <w:r>
        <w:br/>
      </w:r>
      <w:r>
        <w:rPr>
          <w:rStyle w:val="VerbatimChar"/>
        </w:rPr>
        <w:t xml:space="preserve">  "features": {</w:t>
      </w:r>
      <w:r>
        <w:br/>
      </w:r>
      <w:r>
        <w:rPr>
          <w:rStyle w:val="VerbatimChar"/>
        </w:rPr>
        <w:t xml:space="preserve">    "SMA_5": 173.4,</w:t>
      </w:r>
      <w:r>
        <w:br/>
      </w:r>
      <w:r>
        <w:rPr>
          <w:rStyle w:val="VerbatimChar"/>
        </w:rPr>
        <w:t xml:space="preserve">    "RSI_14": 62.1,</w:t>
      </w:r>
      <w:r>
        <w:br/>
      </w:r>
      <w:r>
        <w:rPr>
          <w:rStyle w:val="VerbatimChar"/>
        </w:rPr>
        <w:t xml:space="preserve">    "NewsSentimentScore": 0.31,</w:t>
      </w:r>
      <w:r>
        <w:br/>
      </w:r>
      <w:r>
        <w:rPr>
          <w:rStyle w:val="VerbatimChar"/>
        </w:rPr>
        <w:t xml:space="preserve">    "VolatilityRegime": "HIGH"</w:t>
      </w:r>
      <w:r>
        <w:br/>
      </w:r>
      <w:r>
        <w:rPr>
          <w:rStyle w:val="VerbatimChar"/>
        </w:rPr>
        <w:t xml:space="preserve">  }</w:t>
      </w:r>
      <w:r>
        <w:br/>
      </w:r>
      <w:r>
        <w:rPr>
          <w:rStyle w:val="VerbatimChar"/>
        </w:rPr>
        <w:t xml:space="preserve">}</w:t>
      </w:r>
    </w:p>
    <w:p>
      <w:pPr>
        <w:pStyle w:val="FirstParagraph"/>
      </w:pPr>
      <w:r>
        <w:t xml:space="preserve">For</w:t>
      </w:r>
      <w:r>
        <w:t xml:space="preserve"> </w:t>
      </w:r>
      <w:r>
        <w:rPr>
          <w:b/>
          <w:bCs/>
        </w:rPr>
        <w:t xml:space="preserve">backtesting</w:t>
      </w:r>
      <w:r>
        <w:t xml:space="preserve">, a request might be:</w:t>
      </w:r>
    </w:p>
    <w:p>
      <w:pPr>
        <w:pStyle w:val="SourceCode"/>
      </w:pPr>
      <w:r>
        <w:rPr>
          <w:rStyle w:val="VerbatimChar"/>
        </w:rPr>
        <w:t xml:space="preserve">{</w:t>
      </w:r>
      <w:r>
        <w:br/>
      </w:r>
      <w:r>
        <w:rPr>
          <w:rStyle w:val="VerbatimChar"/>
        </w:rPr>
        <w:t xml:space="preserve">  "strategy": "MACD_News",</w:t>
      </w:r>
      <w:r>
        <w:br/>
      </w:r>
      <w:r>
        <w:rPr>
          <w:rStyle w:val="VerbatimChar"/>
        </w:rPr>
        <w:t xml:space="preserve">  "start_date": "2021-01-01",</w:t>
      </w:r>
      <w:r>
        <w:br/>
      </w:r>
      <w:r>
        <w:rPr>
          <w:rStyle w:val="VerbatimChar"/>
        </w:rPr>
        <w:t xml:space="preserve">  "end_date": "2024-12-31",</w:t>
      </w:r>
      <w:r>
        <w:br/>
      </w:r>
      <w:r>
        <w:rPr>
          <w:rStyle w:val="VerbatimChar"/>
        </w:rPr>
        <w:t xml:space="preserve">  "initial_capital": 100000,</w:t>
      </w:r>
      <w:r>
        <w:br/>
      </w:r>
      <w:r>
        <w:rPr>
          <w:rStyle w:val="VerbatimChar"/>
        </w:rPr>
        <w:t xml:space="preserve">  "commission": 0.001</w:t>
      </w:r>
      <w:r>
        <w:br/>
      </w:r>
      <w:r>
        <w:rPr>
          <w:rStyle w:val="VerbatimChar"/>
        </w:rPr>
        <w:t xml:space="preserve">}</w:t>
      </w:r>
    </w:p>
    <w:p>
      <w:pPr>
        <w:pStyle w:val="FirstParagraph"/>
      </w:pPr>
      <w:r>
        <w:t xml:space="preserve">with response:</w:t>
      </w:r>
    </w:p>
    <w:p>
      <w:pPr>
        <w:pStyle w:val="SourceCode"/>
      </w:pPr>
      <w:r>
        <w:rPr>
          <w:rStyle w:val="VerbatimChar"/>
        </w:rPr>
        <w:t xml:space="preserve">{</w:t>
      </w:r>
      <w:r>
        <w:br/>
      </w:r>
      <w:r>
        <w:rPr>
          <w:rStyle w:val="VerbatimChar"/>
        </w:rPr>
        <w:t xml:space="preserve">  "strategy": "MACD_News",</w:t>
      </w:r>
      <w:r>
        <w:br/>
      </w:r>
      <w:r>
        <w:rPr>
          <w:rStyle w:val="VerbatimChar"/>
        </w:rPr>
        <w:t xml:space="preserve">  "sharpe_ratio": 1.45,</w:t>
      </w:r>
      <w:r>
        <w:br/>
      </w:r>
      <w:r>
        <w:rPr>
          <w:rStyle w:val="VerbatimChar"/>
        </w:rPr>
        <w:t xml:space="preserve">  "max_drawdown": 0.12,</w:t>
      </w:r>
      <w:r>
        <w:br/>
      </w:r>
      <w:r>
        <w:rPr>
          <w:rStyle w:val="VerbatimChar"/>
        </w:rPr>
        <w:t xml:space="preserve">  "total_return_pct": 35.2,</w:t>
      </w:r>
      <w:r>
        <w:br/>
      </w:r>
      <w:r>
        <w:rPr>
          <w:rStyle w:val="VerbatimChar"/>
        </w:rPr>
        <w:t xml:space="preserve">  "trades_executed": 128</w:t>
      </w:r>
      <w:r>
        <w:br/>
      </w:r>
      <w:r>
        <w:rPr>
          <w:rStyle w:val="VerbatimChar"/>
        </w:rPr>
        <w:t xml:space="preserve">}</w:t>
      </w:r>
    </w:p>
    <w:p>
      <w:pPr>
        <w:pStyle w:val="FirstParagraph"/>
      </w:pPr>
      <w:r>
        <w:t xml:space="preserve">These examples illustrate the request/response formats and the types of data exchanged. The actual schemas should be documented in the API specification.</w:t>
      </w:r>
    </w:p>
    <w:p>
      <w:pPr>
        <w:pStyle w:val="BodyText"/>
      </w:pPr>
      <w:r>
        <w:rPr>
          <w:b/>
          <w:bCs/>
        </w:rPr>
        <w:t xml:space="preserve">Sources:</w:t>
      </w:r>
      <w:r>
        <w:t xml:space="preserve"> </w:t>
      </w:r>
      <w:r>
        <w:t xml:space="preserve">The design and recommendations above draw on best practices from AI finance literature and engineering blogs</w:t>
      </w:r>
      <w:hyperlink r:id="rId21">
        <w:r>
          <w:rPr>
            <w:rStyle w:val="Hyperlink"/>
          </w:rPr>
          <w:t xml:space="preserve">[1]</w:t>
        </w:r>
      </w:hyperlink>
      <w:hyperlink r:id="rId22">
        <w:r>
          <w:rPr>
            <w:rStyle w:val="Hyperlink"/>
          </w:rPr>
          <w:t xml:space="preserve">[2]</w:t>
        </w:r>
      </w:hyperlink>
      <w:hyperlink r:id="rId24">
        <w:r>
          <w:rPr>
            <w:rStyle w:val="Hyperlink"/>
          </w:rPr>
          <w:t xml:space="preserve">[4]</w:t>
        </w:r>
      </w:hyperlink>
      <w:hyperlink r:id="rId37">
        <w:r>
          <w:rPr>
            <w:rStyle w:val="Hyperlink"/>
          </w:rPr>
          <w:t xml:space="preserve">[11]</w:t>
        </w:r>
      </w:hyperlink>
      <w:r>
        <w:t xml:space="preserve">, ensuring a robust, scalable implementation.</w:t>
      </w:r>
    </w:p>
    <w:bookmarkEnd w:id="47"/>
    <w:bookmarkEnd w:id="48"/>
    <w:bookmarkEnd w:id="49"/>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r>
        <w:t xml:space="preserve"> </w:t>
      </w:r>
      <w:r>
        <w:t xml:space="preserve">Large Language Models in equity markets: applications, techniques, and insights - PMC</w:t>
      </w:r>
      <w:r>
        <w:t xml:space="preserve"> </w:t>
      </w:r>
    </w:p>
    <w:p>
      <w:pPr>
        <w:pStyle w:val="BodyText"/>
      </w:pPr>
      <w:hyperlink r:id="rId50">
        <w:r>
          <w:rPr>
            <w:rStyle w:val="Hyperlink"/>
          </w:rPr>
          <w:t xml:space="preserve">https://pmc.ncbi.nlm.nih.gov/articles/PMC12421730/</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9">
        <w:r>
          <w:rPr>
            <w:rStyle w:val="Hyperlink"/>
          </w:rPr>
          <w:t xml:space="preserve">[7]</w:t>
        </w:r>
      </w:hyperlink>
      <w:r>
        <w:t xml:space="preserve"> </w:t>
      </w:r>
      <w:r>
        <w:t xml:space="preserve">Predicting Stock Returns: A Guide to Feature Engineering for Financial Data | by Zhong Hong | Medium</w:t>
      </w:r>
    </w:p>
    <w:p>
      <w:pPr>
        <w:pStyle w:val="BodyText"/>
      </w:pPr>
      <w:hyperlink r:id="rId51">
        <w:r>
          <w:rPr>
            <w:rStyle w:val="Hyperlink"/>
          </w:rPr>
          <w:t xml:space="preserve">https://medium.com/@zhonghong9998/predicting-stock-returns-a-guide-to-feature-engineering-for-financial-data-bbf6700b11d7</w:t>
        </w:r>
      </w:hyperlink>
    </w:p>
    <w:p>
      <w:pPr>
        <w:pStyle w:val="BodyText"/>
      </w:pPr>
      <w:hyperlink r:id="rId28">
        <w:r>
          <w:rPr>
            <w:rStyle w:val="Hyperlink"/>
          </w:rPr>
          <w:t xml:space="preserve">[6]</w:t>
        </w:r>
      </w:hyperlink>
      <w:r>
        <w:t xml:space="preserve"> </w:t>
      </w:r>
      <w:r>
        <w:t xml:space="preserve">Empowered stock market forecasting using Large Language Model on social media content - ScienceDirect</w:t>
      </w:r>
    </w:p>
    <w:p>
      <w:pPr>
        <w:pStyle w:val="BodyText"/>
      </w:pPr>
      <w:hyperlink r:id="rId52">
        <w:r>
          <w:rPr>
            <w:rStyle w:val="Hyperlink"/>
          </w:rPr>
          <w:t xml:space="preserve">https://www.sciencedirect.com/science/article/pii/S0952197625027587</w:t>
        </w:r>
      </w:hyperlink>
    </w:p>
    <w:p>
      <w:pPr>
        <w:pStyle w:val="BodyText"/>
      </w:pPr>
      <w:hyperlink r:id="rId31">
        <w:r>
          <w:rPr>
            <w:rStyle w:val="Hyperlink"/>
          </w:rPr>
          <w:t xml:space="preserve">[8]</w:t>
        </w:r>
      </w:hyperlink>
      <w:r>
        <w:t xml:space="preserve"> </w:t>
      </w:r>
      <w:r>
        <w:t xml:space="preserve">How TimeScaleDB Streamlines Time-Series Data for Stock Market Analysis | by Bluetick Consultants Inc. | Medium</w:t>
      </w:r>
    </w:p>
    <w:p>
      <w:pPr>
        <w:pStyle w:val="BodyText"/>
      </w:pPr>
      <w:hyperlink r:id="rId53">
        <w:r>
          <w:rPr>
            <w:rStyle w:val="Hyperlink"/>
          </w:rPr>
          <w:t xml:space="preserve">https://bluetickconsultants.medium.com/how-timescaledb-streamlines-time-series-data-for-stock-market-analysis-f8557764bdc7</w:t>
        </w:r>
      </w:hyperlink>
    </w:p>
    <w:p>
      <w:pPr>
        <w:pStyle w:val="BodyText"/>
      </w:pPr>
      <w:hyperlink r:id="rId32">
        <w:r>
          <w:rPr>
            <w:rStyle w:val="Hyperlink"/>
          </w:rPr>
          <w:t xml:space="preserve">[9]</w:t>
        </w:r>
      </w:hyperlink>
      <w:r>
        <w:t xml:space="preserve"> </w:t>
      </w:r>
      <w:r>
        <w:t xml:space="preserve">Building AI-Powered Search and RAG with PostgreSQL and Vector Embeddings | by Rick Hightower | Medium</w:t>
      </w:r>
    </w:p>
    <w:p>
      <w:pPr>
        <w:pStyle w:val="BodyText"/>
      </w:pPr>
      <w:hyperlink r:id="rId54">
        <w:r>
          <w:rPr>
            <w:rStyle w:val="Hyperlink"/>
          </w:rPr>
          <w:t xml:space="preserve">https://medium.com/@richardhightower/building-ai-powered-search-and-rag-with-postgresql-and-vector-embeddings-09af314dc2ff</w:t>
        </w:r>
      </w:hyperlink>
    </w:p>
    <w:p>
      <w:pPr>
        <w:pStyle w:val="BodyText"/>
      </w:pPr>
      <w:hyperlink r:id="rId33">
        <w:r>
          <w:rPr>
            <w:rStyle w:val="Hyperlink"/>
          </w:rPr>
          <w:t xml:space="preserve">[10]</w:t>
        </w:r>
      </w:hyperlink>
      <w:r>
        <w:t xml:space="preserve"> </w:t>
      </w:r>
      <w:hyperlink r:id="rId42">
        <w:r>
          <w:rPr>
            <w:rStyle w:val="Hyperlink"/>
          </w:rPr>
          <w:t xml:space="preserve">[15]</w:t>
        </w:r>
      </w:hyperlink>
      <w:r>
        <w:t xml:space="preserve"> </w:t>
      </w:r>
      <w:hyperlink r:id="rId44">
        <w:r>
          <w:rPr>
            <w:rStyle w:val="Hyperlink"/>
          </w:rPr>
          <w:t xml:space="preserve">[16]</w:t>
        </w:r>
      </w:hyperlink>
      <w:r>
        <w:t xml:space="preserve"> </w:t>
      </w:r>
      <w:r>
        <w:t xml:space="preserve">How Graph Knowledge Is Powering the Next Generation of AI Stock Market Agents | by Abhishek Gupta | Dec, 2025 | Medium</w:t>
      </w:r>
    </w:p>
    <w:p>
      <w:pPr>
        <w:pStyle w:val="BodyText"/>
      </w:pPr>
      <w:hyperlink r:id="rId55">
        <w:r>
          <w:rPr>
            <w:rStyle w:val="Hyperlink"/>
          </w:rPr>
          <w:t xml:space="preserve">https://medium.com/@abhitcb/how-graph-knowledge-is-powering-the-next-generation-of-ai-stock-market-agents-05ba1d17e109</w:t>
        </w:r>
      </w:hyperlink>
    </w:p>
    <w:p>
      <w:pPr>
        <w:pStyle w:val="BodyText"/>
      </w:pPr>
      <w:hyperlink r:id="rId37">
        <w:r>
          <w:rPr>
            <w:rStyle w:val="Hyperlink"/>
          </w:rPr>
          <w:t xml:space="preserve">[11]</w:t>
        </w:r>
      </w:hyperlink>
      <w:r>
        <w:t xml:space="preserve"> </w:t>
      </w:r>
      <w:hyperlink r:id="rId38">
        <w:r>
          <w:rPr>
            <w:rStyle w:val="Hyperlink"/>
          </w:rPr>
          <w:t xml:space="preserve">[12]</w:t>
        </w:r>
      </w:hyperlink>
      <w:r>
        <w:t xml:space="preserve"> </w:t>
      </w:r>
      <w:hyperlink r:id="rId39">
        <w:r>
          <w:rPr>
            <w:rStyle w:val="Hyperlink"/>
          </w:rPr>
          <w:t xml:space="preserve">[13]</w:t>
        </w:r>
      </w:hyperlink>
      <w:r>
        <w:t xml:space="preserve"> </w:t>
      </w:r>
      <w:hyperlink r:id="rId40">
        <w:r>
          <w:rPr>
            <w:rStyle w:val="Hyperlink"/>
          </w:rPr>
          <w:t xml:space="preserve">[14]</w:t>
        </w:r>
      </w:hyperlink>
      <w:r>
        <w:t xml:space="preserve"> </w:t>
      </w:r>
      <w:r>
        <w:t xml:space="preserve">StarQube</w:t>
      </w:r>
    </w:p>
    <w:p>
      <w:pPr>
        <w:pStyle w:val="BodyText"/>
      </w:pPr>
      <w:hyperlink r:id="rId56">
        <w:r>
          <w:rPr>
            <w:rStyle w:val="Hyperlink"/>
          </w:rPr>
          <w:t xml:space="preserve">https://starqube.com/backtesting-investment-strategies/</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bluetickconsultants.medium.com/how-timescaledb-streamlines-time-series-data-for-stock-market-analysis-f8557764bdc7" TargetMode="External" /><Relationship Type="http://schemas.openxmlformats.org/officeDocument/2006/relationships/hyperlink" Id="rId31" Target="https://bluetickconsultants.medium.com/how-timescaledb-streamlines-time-series-data-for-stock-market-analysis-f8557764bdc7#:~:text=1,into%20hourly%20intervals%20for%20easier" TargetMode="External" /><Relationship Type="http://schemas.openxmlformats.org/officeDocument/2006/relationships/hyperlink" Id="rId55" Target="https://medium.com/@abhitcb/how-graph-knowledge-is-powering-the-next-generation-of-ai-stock-market-agents-05ba1d17e109" TargetMode="External" /><Relationship Type="http://schemas.openxmlformats.org/officeDocument/2006/relationships/hyperlink" Id="rId44" Target="https://medium.com/@abhitcb/how-graph-knowledge-is-powering-the-next-generation-of-ai-stock-market-agents-05ba1d17e109#:~:text=5" TargetMode="External" /><Relationship Type="http://schemas.openxmlformats.org/officeDocument/2006/relationships/hyperlink" Id="rId42" Target="https://medium.com/@abhitcb/how-graph-knowledge-is-powering-the-next-generation-of-ai-stock-market-agents-05ba1d17e109#:~:text=Graph" TargetMode="External" /><Relationship Type="http://schemas.openxmlformats.org/officeDocument/2006/relationships/hyperlink" Id="rId33" Target="https://medium.com/@abhitcb/how-graph-knowledge-is-powering-the-next-generation-of-ai-stock-market-agents-05ba1d17e109#:~:text=What%20Is%20Graph%20Knowledge%20in,Stock%20Market%20AI" TargetMode="External" /><Relationship Type="http://schemas.openxmlformats.org/officeDocument/2006/relationships/hyperlink" Id="rId54" Target="https://medium.com/@richardhightower/building-ai-powered-search-and-rag-with-postgresql-and-vector-embeddings-09af314dc2ff" TargetMode="External" /><Relationship Type="http://schemas.openxmlformats.org/officeDocument/2006/relationships/hyperlink" Id="rId32" Target="https://medium.com/@richardhightower/building-ai-powered-search-and-rag-with-postgresql-and-vector-embeddings-09af314dc2ff#:~:text=With%20pgvector%2C%20you%20can%3A" TargetMode="External" /><Relationship Type="http://schemas.openxmlformats.org/officeDocument/2006/relationships/hyperlink" Id="rId51" Target="https://medium.com/@zhonghong9998/predicting-stock-returns-a-guide-to-feature-engineering-for-financial-data-bbf6700b11d7" TargetMode="External" /><Relationship Type="http://schemas.openxmlformats.org/officeDocument/2006/relationships/hyperlink" Id="rId29" Target="https://medium.com/@zhonghong9998/predicting-stock-returns-a-guide-to-feature-engineering-for-financial-data-bbf6700b11d7#:~:text=1,during%20volatility%20spikes%20or%20crashes" TargetMode="External" /><Relationship Type="http://schemas.openxmlformats.org/officeDocument/2006/relationships/hyperlink" Id="rId22" Target="https://medium.com/@zhonghong9998/predicting-stock-returns-a-guide-to-feature-engineering-for-financial-data-bbf6700b11d7#:~:text=2" TargetMode="External" /><Relationship Type="http://schemas.openxmlformats.org/officeDocument/2006/relationships/hyperlink" Id="rId23" Target="https://medium.com/@zhonghong9998/predicting-stock-returns-a-guide-to-feature-engineering-for-financial-data-bbf6700b11d7#:~:text=Significant%20events%20such%20as%20earnings,your%20model%20with%20crucial%20context" TargetMode="External" /><Relationship Type="http://schemas.openxmlformats.org/officeDocument/2006/relationships/hyperlink" Id="rId50" Target="https://pmc.ncbi.nlm.nih.gov/articles/PMC12421730/" TargetMode="External" /><Relationship Type="http://schemas.openxmlformats.org/officeDocument/2006/relationships/hyperlink" Id="rId21" Target="https://pmc.ncbi.nlm.nih.gov/articles/PMC12421730/#:~:text=era%20in%20equity%20investing%2C%20shifting,agent%20frameworks.%20This%20evolution%20enhances" TargetMode="External" /><Relationship Type="http://schemas.openxmlformats.org/officeDocument/2006/relationships/hyperlink" Id="rId24" Target="https://pmc.ncbi.nlm.nih.gov/articles/PMC12421730/#:~:text=match%20at%20L1307%20,analyses%20and%20historical%20data%20to" TargetMode="External" /><Relationship Type="http://schemas.openxmlformats.org/officeDocument/2006/relationships/hyperlink" Id="rId25" Target="https://pmc.ncbi.nlm.nih.gov/articles/PMC12421730/#:~:text=match%20at%20L1332%20,agent%20debate%2C%20and" TargetMode="External" /><Relationship Type="http://schemas.openxmlformats.org/officeDocument/2006/relationships/hyperlink" Id="rId56" Target="https://starqube.com/backtesting-investment-strategies/" TargetMode="External" /><Relationship Type="http://schemas.openxmlformats.org/officeDocument/2006/relationships/hyperlink" Id="rId37" Target="https://starqube.com/backtesting-investment-strategies/#:~:text=%23%202.%20Look,with%20tomorrow%E2%80%99s%20newspaper" TargetMode="External" /><Relationship Type="http://schemas.openxmlformats.org/officeDocument/2006/relationships/hyperlink" Id="rId40" Target="https://starqube.com/backtesting-investment-strategies/#:~:text=%23%206.%20Selecting%20cherry,periods" TargetMode="External" /><Relationship Type="http://schemas.openxmlformats.org/officeDocument/2006/relationships/hyperlink" Id="rId39" Target="https://starqube.com/backtesting-investment-strategies/#:~:text=,death%20by%20a%20thousand%20cuts" TargetMode="External" /><Relationship Type="http://schemas.openxmlformats.org/officeDocument/2006/relationships/hyperlink" Id="rId38" Target="https://starqube.com/backtesting-investment-strategies/#:~:text=,invisible%20graveyard" TargetMode="External" /><Relationship Type="http://schemas.openxmlformats.org/officeDocument/2006/relationships/hyperlink" Id="rId52" Target="https://www.sciencedirect.com/science/article/pii/S0952197625027587" TargetMode="External" /><Relationship Type="http://schemas.openxmlformats.org/officeDocument/2006/relationships/hyperlink" Id="rId28" Target="https://www.sciencedirect.com/science/article/pii/S0952197625027587#:~:text=The%20high%20volatility%20and%20non,Successively" TargetMode="External" /></Relationships>
</file>

<file path=word/_rels/footnotes.xml.rels><?xml version="1.0" encoding="UTF-8"?><Relationships xmlns="http://schemas.openxmlformats.org/package/2006/relationships"><Relationship Type="http://schemas.openxmlformats.org/officeDocument/2006/relationships/hyperlink" Id="rId53" Target="https://bluetickconsultants.medium.com/how-timescaledb-streamlines-time-series-data-for-stock-market-analysis-f8557764bdc7" TargetMode="External" /><Relationship Type="http://schemas.openxmlformats.org/officeDocument/2006/relationships/hyperlink" Id="rId31" Target="https://bluetickconsultants.medium.com/how-timescaledb-streamlines-time-series-data-for-stock-market-analysis-f8557764bdc7#:~:text=1,into%20hourly%20intervals%20for%20easier" TargetMode="External" /><Relationship Type="http://schemas.openxmlformats.org/officeDocument/2006/relationships/hyperlink" Id="rId55" Target="https://medium.com/@abhitcb/how-graph-knowledge-is-powering-the-next-generation-of-ai-stock-market-agents-05ba1d17e109" TargetMode="External" /><Relationship Type="http://schemas.openxmlformats.org/officeDocument/2006/relationships/hyperlink" Id="rId44" Target="https://medium.com/@abhitcb/how-graph-knowledge-is-powering-the-next-generation-of-ai-stock-market-agents-05ba1d17e109#:~:text=5" TargetMode="External" /><Relationship Type="http://schemas.openxmlformats.org/officeDocument/2006/relationships/hyperlink" Id="rId42" Target="https://medium.com/@abhitcb/how-graph-knowledge-is-powering-the-next-generation-of-ai-stock-market-agents-05ba1d17e109#:~:text=Graph" TargetMode="External" /><Relationship Type="http://schemas.openxmlformats.org/officeDocument/2006/relationships/hyperlink" Id="rId33" Target="https://medium.com/@abhitcb/how-graph-knowledge-is-powering-the-next-generation-of-ai-stock-market-agents-05ba1d17e109#:~:text=What%20Is%20Graph%20Knowledge%20in,Stock%20Market%20AI" TargetMode="External" /><Relationship Type="http://schemas.openxmlformats.org/officeDocument/2006/relationships/hyperlink" Id="rId54" Target="https://medium.com/@richardhightower/building-ai-powered-search-and-rag-with-postgresql-and-vector-embeddings-09af314dc2ff" TargetMode="External" /><Relationship Type="http://schemas.openxmlformats.org/officeDocument/2006/relationships/hyperlink" Id="rId32" Target="https://medium.com/@richardhightower/building-ai-powered-search-and-rag-with-postgresql-and-vector-embeddings-09af314dc2ff#:~:text=With%20pgvector%2C%20you%20can%3A" TargetMode="External" /><Relationship Type="http://schemas.openxmlformats.org/officeDocument/2006/relationships/hyperlink" Id="rId51" Target="https://medium.com/@zhonghong9998/predicting-stock-returns-a-guide-to-feature-engineering-for-financial-data-bbf6700b11d7" TargetMode="External" /><Relationship Type="http://schemas.openxmlformats.org/officeDocument/2006/relationships/hyperlink" Id="rId29" Target="https://medium.com/@zhonghong9998/predicting-stock-returns-a-guide-to-feature-engineering-for-financial-data-bbf6700b11d7#:~:text=1,during%20volatility%20spikes%20or%20crashes" TargetMode="External" /><Relationship Type="http://schemas.openxmlformats.org/officeDocument/2006/relationships/hyperlink" Id="rId22" Target="https://medium.com/@zhonghong9998/predicting-stock-returns-a-guide-to-feature-engineering-for-financial-data-bbf6700b11d7#:~:text=2" TargetMode="External" /><Relationship Type="http://schemas.openxmlformats.org/officeDocument/2006/relationships/hyperlink" Id="rId23" Target="https://medium.com/@zhonghong9998/predicting-stock-returns-a-guide-to-feature-engineering-for-financial-data-bbf6700b11d7#:~:text=Significant%20events%20such%20as%20earnings,your%20model%20with%20crucial%20context" TargetMode="External" /><Relationship Type="http://schemas.openxmlformats.org/officeDocument/2006/relationships/hyperlink" Id="rId50" Target="https://pmc.ncbi.nlm.nih.gov/articles/PMC12421730/" TargetMode="External" /><Relationship Type="http://schemas.openxmlformats.org/officeDocument/2006/relationships/hyperlink" Id="rId21" Target="https://pmc.ncbi.nlm.nih.gov/articles/PMC12421730/#:~:text=era%20in%20equity%20investing%2C%20shifting,agent%20frameworks.%20This%20evolution%20enhances" TargetMode="External" /><Relationship Type="http://schemas.openxmlformats.org/officeDocument/2006/relationships/hyperlink" Id="rId24" Target="https://pmc.ncbi.nlm.nih.gov/articles/PMC12421730/#:~:text=match%20at%20L1307%20,analyses%20and%20historical%20data%20to" TargetMode="External" /><Relationship Type="http://schemas.openxmlformats.org/officeDocument/2006/relationships/hyperlink" Id="rId25" Target="https://pmc.ncbi.nlm.nih.gov/articles/PMC12421730/#:~:text=match%20at%20L1332%20,agent%20debate%2C%20and" TargetMode="External" /><Relationship Type="http://schemas.openxmlformats.org/officeDocument/2006/relationships/hyperlink" Id="rId56" Target="https://starqube.com/backtesting-investment-strategies/" TargetMode="External" /><Relationship Type="http://schemas.openxmlformats.org/officeDocument/2006/relationships/hyperlink" Id="rId37" Target="https://starqube.com/backtesting-investment-strategies/#:~:text=%23%202.%20Look,with%20tomorrow%E2%80%99s%20newspaper" TargetMode="External" /><Relationship Type="http://schemas.openxmlformats.org/officeDocument/2006/relationships/hyperlink" Id="rId40" Target="https://starqube.com/backtesting-investment-strategies/#:~:text=%23%206.%20Selecting%20cherry,periods" TargetMode="External" /><Relationship Type="http://schemas.openxmlformats.org/officeDocument/2006/relationships/hyperlink" Id="rId39" Target="https://starqube.com/backtesting-investment-strategies/#:~:text=,death%20by%20a%20thousand%20cuts" TargetMode="External" /><Relationship Type="http://schemas.openxmlformats.org/officeDocument/2006/relationships/hyperlink" Id="rId38" Target="https://starqube.com/backtesting-investment-strategies/#:~:text=,invisible%20graveyard" TargetMode="External" /><Relationship Type="http://schemas.openxmlformats.org/officeDocument/2006/relationships/hyperlink" Id="rId52" Target="https://www.sciencedirect.com/science/article/pii/S0952197625027587" TargetMode="External" /><Relationship Type="http://schemas.openxmlformats.org/officeDocument/2006/relationships/hyperlink" Id="rId28" Target="https://www.sciencedirect.com/science/article/pii/S0952197625027587#:~:text=The%20high%20volatility%20and%20non,Successive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2026-02-28T13:33:57Z</dcterms:created>
  <dcterms:modified xsi:type="dcterms:W3CDTF">2026-02-28T13:33:57Z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