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80"/>
        <w:jc w:val="center"/>
      </w:pPr>
      <w:r>
        <w:rPr>
          <w:rFonts w:ascii="Calibri" w:cs="Calibri" w:eastAsia="Calibri" w:hAnsi="Calibri"/>
          <w:b/>
          <w:bCs/>
          <w:color w:val="1E3A5F"/>
          <w:sz w:val="56"/>
          <w:szCs w:val="56"/>
        </w:rPr>
        <w:t xml:space="preserve">JOB MARKET ANALYSIS</w:t>
      </w:r>
    </w:p>
    <w:p>
      <w:pPr>
        <w:spacing w:before="0" w:after="200"/>
        <w:jc w:val="center"/>
      </w:pPr>
      <w:r>
        <w:rPr>
          <w:rFonts w:ascii="Calibri" w:cs="Calibri" w:eastAsia="Calibri" w:hAnsi="Calibri"/>
          <w:b/>
          <w:bCs/>
          <w:color w:val="2563EB"/>
          <w:sz w:val="52"/>
          <w:szCs w:val="52"/>
        </w:rPr>
        <w:t xml:space="preserve">2025 INSIGHTS REPORT</w:t>
      </w:r>
    </w:p>
    <w:p>
      <w:pPr>
        <w:pBdr>
          <w:bottom w:val="single" w:color="2563EB" w:sz="6"/>
        </w:pBdr>
        <w:spacing w:before="120" w:after="120"/>
      </w:pPr>
      <w:r>
        <w:t xml:space="preserve"/>
      </w:r>
    </w:p>
    <w:p>
      <w:pPr>
        <w:spacing w:before="160" w:after="480"/>
        <w:jc w:val="center"/>
      </w:pPr>
      <w:r>
        <w:rPr>
          <w:rFonts w:ascii="Calibri" w:cs="Calibri" w:eastAsia="Calibri" w:hAnsi="Calibri"/>
          <w:color w:val="64748B"/>
          <w:sz w:val="26"/>
          <w:szCs w:val="26"/>
        </w:rPr>
        <w:t xml:space="preserve">Comprehensive Analysis of Tech Roles, Salaries, Skills &amp; Hiring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240"/>
              <w:left w:type="dxa" w:w="120"/>
              <w:bottom w:type="dxa" w:w="240"/>
              <w:right w:type="dxa" w:w="120"/>
            </w:tcMar>
            <w:vAlign w:val="center"/>
          </w:tcPr>
          <w:p>
            <w:pPr>
              <w:spacing w:before="0" w:after="60"/>
              <w:jc w:val="center"/>
            </w:pPr>
            <w:r>
              <w:rPr>
                <w:rFonts w:ascii="Calibri" w:cs="Calibri" w:eastAsia="Calibri" w:hAnsi="Calibri"/>
                <w:b/>
                <w:bCs/>
                <w:color w:val="FFFFFF"/>
                <w:sz w:val="44"/>
                <w:szCs w:val="44"/>
              </w:rPr>
              <w:t xml:space="preserve">1,397</w:t>
            </w:r>
          </w:p>
          <w:p>
            <w:pPr>
              <w:spacing w:before="0" w:after="0"/>
              <w:jc w:val="center"/>
            </w:pPr>
            <w:r>
              <w:rPr>
                <w:rFonts w:ascii="Calibri" w:cs="Calibri" w:eastAsia="Calibri" w:hAnsi="Calibri"/>
                <w:color w:val="FFFFFF"/>
                <w:sz w:val="18"/>
                <w:szCs w:val="18"/>
              </w:rPr>
              <w:t xml:space="preserve">Total Listings</w:t>
            </w:r>
          </w:p>
        </w:tc>
        <w:tc>
          <w:tcPr>
            <w:tcW w:type="dxa" w:w="2340"/>
            <w:tcBorders>
              <w:top w:val="none" w:color="FFFFFF" w:sz="0"/>
              <w:left w:val="none" w:color="FFFFFF" w:sz="0"/>
              <w:bottom w:val="none" w:color="FFFFFF" w:sz="0"/>
              <w:right w:val="none" w:color="FFFFFF" w:sz="0"/>
            </w:tcBorders>
            <w:shd w:fill="059669" w:val="clear"/>
            <w:tcMar>
              <w:top w:type="dxa" w:w="240"/>
              <w:left w:type="dxa" w:w="120"/>
              <w:bottom w:type="dxa" w:w="240"/>
              <w:right w:type="dxa" w:w="120"/>
            </w:tcMar>
            <w:vAlign w:val="center"/>
          </w:tcPr>
          <w:p>
            <w:pPr>
              <w:spacing w:before="0" w:after="60"/>
              <w:jc w:val="center"/>
            </w:pPr>
            <w:r>
              <w:rPr>
                <w:rFonts w:ascii="Calibri" w:cs="Calibri" w:eastAsia="Calibri" w:hAnsi="Calibri"/>
                <w:b/>
                <w:bCs/>
                <w:color w:val="FFFFFF"/>
                <w:sz w:val="44"/>
                <w:szCs w:val="44"/>
              </w:rPr>
              <w:t xml:space="preserve">$129,681</w:t>
            </w:r>
          </w:p>
          <w:p>
            <w:pPr>
              <w:spacing w:before="0" w:after="0"/>
              <w:jc w:val="center"/>
            </w:pPr>
            <w:r>
              <w:rPr>
                <w:rFonts w:ascii="Calibri" w:cs="Calibri" w:eastAsia="Calibri" w:hAnsi="Calibri"/>
                <w:color w:val="FFFFFF"/>
                <w:sz w:val="18"/>
                <w:szCs w:val="18"/>
              </w:rPr>
              <w:t xml:space="preserve">Median Salary</w:t>
            </w:r>
          </w:p>
        </w:tc>
        <w:tc>
          <w:tcPr>
            <w:tcW w:type="dxa" w:w="2340"/>
            <w:tcBorders>
              <w:top w:val="none" w:color="FFFFFF" w:sz="0"/>
              <w:left w:val="none" w:color="FFFFFF" w:sz="0"/>
              <w:bottom w:val="none" w:color="FFFFFF" w:sz="0"/>
              <w:right w:val="none" w:color="FFFFFF" w:sz="0"/>
            </w:tcBorders>
            <w:shd w:fill="2563EB" w:val="clear"/>
            <w:tcMar>
              <w:top w:type="dxa" w:w="240"/>
              <w:left w:type="dxa" w:w="120"/>
              <w:bottom w:type="dxa" w:w="240"/>
              <w:right w:type="dxa" w:w="120"/>
            </w:tcMar>
            <w:vAlign w:val="center"/>
          </w:tcPr>
          <w:p>
            <w:pPr>
              <w:spacing w:before="0" w:after="60"/>
              <w:jc w:val="center"/>
            </w:pPr>
            <w:r>
              <w:rPr>
                <w:rFonts w:ascii="Calibri" w:cs="Calibri" w:eastAsia="Calibri" w:hAnsi="Calibri"/>
                <w:b/>
                <w:bCs/>
                <w:color w:val="FFFFFF"/>
                <w:sz w:val="44"/>
                <w:szCs w:val="44"/>
              </w:rPr>
              <w:t xml:space="preserve">32.8%</w:t>
            </w:r>
          </w:p>
          <w:p>
            <w:pPr>
              <w:spacing w:before="0" w:after="0"/>
              <w:jc w:val="center"/>
            </w:pPr>
            <w:r>
              <w:rPr>
                <w:rFonts w:ascii="Calibri" w:cs="Calibri" w:eastAsia="Calibri" w:hAnsi="Calibri"/>
                <w:color w:val="FFFFFF"/>
                <w:sz w:val="18"/>
                <w:szCs w:val="18"/>
              </w:rPr>
              <w:t xml:space="preserve">Open Positions</w:t>
            </w:r>
          </w:p>
        </w:tc>
        <w:tc>
          <w:tcPr>
            <w:tcW w:type="dxa" w:w="2340"/>
            <w:tcBorders>
              <w:top w:val="none" w:color="FFFFFF" w:sz="0"/>
              <w:left w:val="none" w:color="FFFFFF" w:sz="0"/>
              <w:bottom w:val="none" w:color="FFFFFF" w:sz="0"/>
              <w:right w:val="none" w:color="FFFFFF" w:sz="0"/>
            </w:tcBorders>
            <w:shd w:fill="7C3AED" w:val="clear"/>
            <w:tcMar>
              <w:top w:type="dxa" w:w="240"/>
              <w:left w:type="dxa" w:w="120"/>
              <w:bottom w:type="dxa" w:w="240"/>
              <w:right w:type="dxa" w:w="120"/>
            </w:tcMar>
            <w:vAlign w:val="center"/>
          </w:tcPr>
          <w:p>
            <w:pPr>
              <w:spacing w:before="0" w:after="60"/>
              <w:jc w:val="center"/>
            </w:pPr>
            <w:r>
              <w:rPr>
                <w:rFonts w:ascii="Calibri" w:cs="Calibri" w:eastAsia="Calibri" w:hAnsi="Calibri"/>
                <w:b/>
                <w:bCs/>
                <w:color w:val="FFFFFF"/>
                <w:sz w:val="44"/>
                <w:szCs w:val="44"/>
              </w:rPr>
              <w:t xml:space="preserve">32.6%</w:t>
            </w:r>
          </w:p>
          <w:p>
            <w:pPr>
              <w:spacing w:before="0" w:after="0"/>
              <w:jc w:val="center"/>
            </w:pPr>
            <w:r>
              <w:rPr>
                <w:rFonts w:ascii="Calibri" w:cs="Calibri" w:eastAsia="Calibri" w:hAnsi="Calibri"/>
                <w:color w:val="FFFFFF"/>
                <w:sz w:val="18"/>
                <w:szCs w:val="18"/>
              </w:rPr>
              <w:t xml:space="preserve">Remote Jobs</w:t>
            </w:r>
          </w:p>
        </w:tc>
      </w:tr>
    </w:tbl>
    <w:p>
      <w:pPr>
        <w:spacing w:before="0" w:after="280"/>
      </w:pPr>
      <w:r>
        <w:t xml:space="preserve"/>
      </w:r>
    </w:p>
    <w:p>
      <w:pPr>
        <w:spacing w:before="0" w:after="60"/>
        <w:jc w:val="center"/>
      </w:pPr>
      <w:r>
        <w:rPr>
          <w:rFonts w:ascii="Calibri" w:cs="Calibri" w:eastAsia="Calibri" w:hAnsi="Calibri"/>
          <w:color w:val="64748B"/>
          <w:sz w:val="20"/>
          <w:szCs w:val="20"/>
        </w:rPr>
        <w:t xml:space="preserve">Prepared by: Data Analytics Team</w:t>
      </w:r>
    </w:p>
    <w:p>
      <w:pPr>
        <w:spacing w:before="0" w:after="60"/>
        <w:jc w:val="center"/>
      </w:pPr>
      <w:r>
        <w:rPr>
          <w:rFonts w:ascii="Calibri" w:cs="Calibri" w:eastAsia="Calibri" w:hAnsi="Calibri"/>
          <w:color w:val="64748B"/>
          <w:sz w:val="19"/>
          <w:szCs w:val="19"/>
        </w:rPr>
        <w:t xml:space="preserve">Dataset: 1,397 job listings across 12 global markets | 15 industries | 14 job families</w:t>
      </w:r>
    </w:p>
    <w:p>
      <w:pPr>
        <w:spacing w:before="0" w:after="0"/>
        <w:jc w:val="center"/>
      </w:pPr>
      <w:r>
        <w:rPr>
          <w:rFonts w:ascii="Calibri" w:cs="Calibri" w:eastAsia="Calibri" w:hAnsi="Calibri"/>
          <w:color w:val="64748B"/>
          <w:sz w:val="19"/>
          <w:szCs w:val="19"/>
        </w:rPr>
        <w:t xml:space="preserve">Analysis Period: January 2024 – December 2025</w:t>
      </w:r>
    </w:p>
    <w:p>
      <w:r>
        <w:br w:type="page"/>
      </w:r>
    </w:p>
    <w:p>
      <w:pPr>
        <w:pBdr>
          <w:left w:val="single" w:color="2563EB" w:sz="18"/>
        </w:pBdr>
        <w:spacing w:before="320" w:after="160"/>
        <w:ind w:left="180"/>
      </w:pPr>
      <w:r>
        <w:rPr>
          <w:rFonts w:ascii="Calibri" w:cs="Calibri" w:eastAsia="Calibri" w:hAnsi="Calibri"/>
          <w:b/>
          <w:bCs/>
          <w:color w:val="1E3A5F"/>
          <w:sz w:val="28"/>
          <w:szCs w:val="28"/>
        </w:rPr>
        <w:t xml:space="preserve">1.  Executive Summary</w:t>
      </w:r>
    </w:p>
    <w:p>
      <w:pPr>
        <w:spacing w:before="0" w:after="160" w:line="288"/>
        <w:jc w:val="left"/>
      </w:pPr>
      <w:r>
        <w:rPr>
          <w:rFonts w:ascii="Calibri" w:cs="Calibri" w:eastAsia="Calibri" w:hAnsi="Calibri"/>
          <w:b w:val="false"/>
          <w:bCs w:val="false"/>
          <w:color w:val="1E293B"/>
          <w:sz w:val="21"/>
          <w:szCs w:val="21"/>
        </w:rPr>
        <w:t xml:space="preserve">This report presents an end-to-end analysis of the 2025 global technology job market, derived from a dataset of 1,397 verified job listings spanning 14 role categories, 12 geographic markets, and 11 industries. The analysis covers salary benchmarks, skills demand, hiring velocity, remote-work patterns, and competitive dynamics across experience levels and company tiers.</w:t>
      </w:r>
    </w:p>
    <w:p>
      <w:pPr>
        <w:spacing w:before="200" w:after="100"/>
      </w:pPr>
      <w:r>
        <w:rPr>
          <w:rFonts w:ascii="Calibri" w:cs="Calibri" w:eastAsia="Calibri" w:hAnsi="Calibri"/>
          <w:b/>
          <w:bCs/>
          <w:color w:val="1E3A5F"/>
          <w:sz w:val="22"/>
          <w:szCs w:val="22"/>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BEAFE" w:val="clear"/>
            <w:tcMar>
              <w:top w:type="dxa" w:w="120"/>
              <w:left w:type="dxa" w:w="200"/>
              <w:bottom w:type="dxa" w:w="120"/>
              <w:right w:type="dxa" w:w="160"/>
            </w:tcMar>
          </w:tcPr>
          <w:p>
            <w:pPr>
              <w:spacing w:before="0" w:after="60" w:line="276"/>
              <w:jc w:val="left"/>
            </w:pPr>
            <w:r>
              <w:rPr>
                <w:rFonts w:ascii="Calibri" w:cs="Calibri" w:eastAsia="Calibri" w:hAnsi="Calibri"/>
                <w:b/>
                <w:bCs/>
                <w:color w:val="2563EB"/>
                <w:sz w:val="18"/>
                <w:szCs w:val="18"/>
              </w:rPr>
              <w:t xml:space="preserve">Market Scope</w:t>
            </w:r>
          </w:p>
          <w:p>
            <w:pPr>
              <w:spacing w:before="0" w:after="120" w:line="276"/>
              <w:jc w:val="left"/>
            </w:pPr>
            <w:r>
              <w:rPr>
                <w:rFonts w:ascii="Calibri" w:cs="Calibri" w:eastAsia="Calibri" w:hAnsi="Calibri"/>
                <w:b w:val="false"/>
                <w:bCs w:val="false"/>
                <w:color w:val="1E293B"/>
                <w:sz w:val="20"/>
                <w:szCs w:val="20"/>
              </w:rPr>
              <w:t xml:space="preserve">1,397 active listings were analysed after removing 73 duplicates and 30 empty records from a raw dataset of 1,500. Data spans Jan 2024 – Dec 2025, with the highest posting activity in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1FAE5" w:val="clear"/>
            <w:tcMar>
              <w:top w:type="dxa" w:w="120"/>
              <w:left w:type="dxa" w:w="200"/>
              <w:bottom w:type="dxa" w:w="120"/>
              <w:right w:type="dxa" w:w="160"/>
            </w:tcMar>
          </w:tcPr>
          <w:p>
            <w:pPr>
              <w:spacing w:before="0" w:after="60" w:line="276"/>
              <w:jc w:val="left"/>
            </w:pPr>
            <w:r>
              <w:rPr>
                <w:rFonts w:ascii="Calibri" w:cs="Calibri" w:eastAsia="Calibri" w:hAnsi="Calibri"/>
                <w:b/>
                <w:bCs/>
                <w:color w:val="059669"/>
                <w:sz w:val="18"/>
                <w:szCs w:val="18"/>
              </w:rPr>
              <w:t xml:space="preserve">Salary Landscape</w:t>
            </w:r>
          </w:p>
          <w:p>
            <w:pPr>
              <w:spacing w:before="0" w:after="120" w:line="276"/>
              <w:jc w:val="left"/>
            </w:pPr>
            <w:r>
              <w:rPr>
                <w:rFonts w:ascii="Calibri" w:cs="Calibri" w:eastAsia="Calibri" w:hAnsi="Calibri"/>
                <w:b w:val="false"/>
                <w:bCs w:val="false"/>
                <w:color w:val="1E293B"/>
                <w:sz w:val="20"/>
                <w:szCs w:val="20"/>
              </w:rPr>
              <w:t xml:space="preserve">Median salary stands at $129,681 USD. Cloud Architects command the highest pay ($192,533 median) while the overall market offers strong compensation across all senior-track roles above $125K.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pPr>
              <w:spacing w:before="0" w:after="60" w:line="276"/>
              <w:jc w:val="left"/>
            </w:pPr>
            <w:r>
              <w:rPr>
                <w:rFonts w:ascii="Calibri" w:cs="Calibri" w:eastAsia="Calibri" w:hAnsi="Calibri"/>
                <w:b/>
                <w:bCs/>
                <w:color w:val="D97706"/>
                <w:sz w:val="18"/>
                <w:szCs w:val="18"/>
              </w:rPr>
              <w:t xml:space="preserve">Hiring Demand</w:t>
            </w:r>
          </w:p>
          <w:p>
            <w:pPr>
              <w:spacing w:before="0" w:after="120" w:line="276"/>
              <w:jc w:val="left"/>
            </w:pPr>
            <w:r>
              <w:rPr>
                <w:rFonts w:ascii="Calibri" w:cs="Calibri" w:eastAsia="Calibri" w:hAnsi="Calibri"/>
                <w:b w:val="false"/>
                <w:bCs w:val="false"/>
                <w:color w:val="1E293B"/>
                <w:sz w:val="20"/>
                <w:szCs w:val="20"/>
              </w:rPr>
              <w:t xml:space="preserve">32.8% of all listed positions remain actively open — signalling a healthy but selective market. ML Engineer is the single most-demanded role by posting volume (92 listings, 6.6% market share).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BEAFE" w:val="clear"/>
            <w:tcMar>
              <w:top w:type="dxa" w:w="120"/>
              <w:left w:type="dxa" w:w="200"/>
              <w:bottom w:type="dxa" w:w="120"/>
              <w:right w:type="dxa" w:w="160"/>
            </w:tcMar>
          </w:tcPr>
          <w:p>
            <w:pPr>
              <w:spacing w:before="0" w:after="60" w:line="276"/>
              <w:jc w:val="left"/>
            </w:pPr>
            <w:r>
              <w:rPr>
                <w:rFonts w:ascii="Calibri" w:cs="Calibri" w:eastAsia="Calibri" w:hAnsi="Calibri"/>
                <w:b/>
                <w:bCs/>
                <w:color w:val="7C3AED"/>
                <w:sz w:val="18"/>
                <w:szCs w:val="18"/>
              </w:rPr>
              <w:t xml:space="preserve">Remote Work</w:t>
            </w:r>
          </w:p>
          <w:p>
            <w:pPr>
              <w:spacing w:before="0" w:after="120" w:line="276"/>
              <w:jc w:val="left"/>
            </w:pPr>
            <w:r>
              <w:rPr>
                <w:rFonts w:ascii="Calibri" w:cs="Calibri" w:eastAsia="Calibri" w:hAnsi="Calibri"/>
                <w:b w:val="false"/>
                <w:bCs w:val="false"/>
                <w:color w:val="1E293B"/>
                <w:sz w:val="20"/>
                <w:szCs w:val="20"/>
              </w:rPr>
              <w:t xml:space="preserve">32.6% of roles are fully remote. Combined with 16.5% hybrid, nearly half the market (49.1%) offers location flexibility — a structural shift confirmed across all experience levels.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FEE2E2" w:val="clear"/>
            <w:tcMar>
              <w:top w:type="dxa" w:w="120"/>
              <w:left w:type="dxa" w:w="200"/>
              <w:bottom w:type="dxa" w:w="120"/>
              <w:right w:type="dxa" w:w="160"/>
            </w:tcMar>
          </w:tcPr>
          <w:p>
            <w:pPr>
              <w:spacing w:before="0" w:after="60" w:line="276"/>
              <w:jc w:val="left"/>
            </w:pPr>
            <w:r>
              <w:rPr>
                <w:rFonts w:ascii="Calibri" w:cs="Calibri" w:eastAsia="Calibri" w:hAnsi="Calibri"/>
                <w:b/>
                <w:bCs/>
                <w:color w:val="DC2626"/>
                <w:sz w:val="18"/>
                <w:szCs w:val="18"/>
              </w:rPr>
              <w:t xml:space="preserve">Skills Premium</w:t>
            </w:r>
          </w:p>
          <w:p>
            <w:pPr>
              <w:spacing w:before="0" w:after="120" w:line="276"/>
              <w:jc w:val="left"/>
            </w:pPr>
            <w:r>
              <w:rPr>
                <w:rFonts w:ascii="Calibri" w:cs="Calibri" w:eastAsia="Calibri" w:hAnsi="Calibri"/>
                <w:b w:val="false"/>
                <w:bCs w:val="false"/>
                <w:color w:val="1E293B"/>
                <w:sz w:val="20"/>
                <w:szCs w:val="20"/>
              </w:rPr>
              <w:t xml:space="preserve">PyTorch, Git, Docker, Tableau, and Java top the skills demand list, each cited in 12–14% of all postings. Roles listing cloud or ML-adjacent skills command 20–35% higher median salaries.</w:t>
            </w:r>
          </w:p>
        </w:tc>
      </w:tr>
    </w:tbl>
    <w:p>
      <w:pPr>
        <w:spacing w:before="0" w:after="120"/>
      </w:pPr>
      <w:r>
        <w:t xml:space="preserve"/>
      </w:r>
    </w:p>
    <w:p>
      <w:pPr>
        <w:pBdr>
          <w:bottom w:val="single" w:color="CBD5E1" w:sz="6"/>
        </w:pBdr>
        <w:spacing w:before="120" w:after="120"/>
      </w:pPr>
      <w:r>
        <w:t xml:space="preserve"/>
      </w:r>
    </w:p>
    <w:p>
      <w:r>
        <w:br w:type="page"/>
      </w:r>
    </w:p>
    <w:p>
      <w:pPr>
        <w:pBdr>
          <w:left w:val="single" w:color="059669" w:sz="18"/>
        </w:pBdr>
        <w:spacing w:before="320" w:after="160"/>
        <w:ind w:left="180"/>
      </w:pPr>
      <w:r>
        <w:rPr>
          <w:rFonts w:ascii="Calibri" w:cs="Calibri" w:eastAsia="Calibri" w:hAnsi="Calibri"/>
          <w:b/>
          <w:bCs/>
          <w:color w:val="1E3A5F"/>
          <w:sz w:val="28"/>
          <w:szCs w:val="28"/>
        </w:rPr>
        <w:t xml:space="preserve">2.  Salary Analysis</w:t>
      </w:r>
    </w:p>
    <w:p>
      <w:pPr>
        <w:spacing w:before="0" w:after="160" w:line="288"/>
        <w:jc w:val="left"/>
      </w:pPr>
      <w:r>
        <w:rPr>
          <w:rFonts w:ascii="Calibri" w:cs="Calibri" w:eastAsia="Calibri" w:hAnsi="Calibri"/>
          <w:b w:val="false"/>
          <w:bCs w:val="false"/>
          <w:color w:val="1E293B"/>
          <w:sz w:val="21"/>
          <w:szCs w:val="21"/>
        </w:rPr>
        <w:t xml:space="preserve">Salary data was normalised to USD, with outliers beyond 3× IQR flagged (36 records) and medians used as the primary benchmark to reduce skew. The median salary of $129,681 reflects strong, broad-based compensation across technical roles.</w:t>
      </w:r>
    </w:p>
    <w:p>
      <w:pPr>
        <w:spacing w:before="200" w:after="100"/>
      </w:pPr>
      <w:r>
        <w:rPr>
          <w:rFonts w:ascii="Calibri" w:cs="Calibri" w:eastAsia="Calibri" w:hAnsi="Calibri"/>
          <w:b/>
          <w:bCs/>
          <w:color w:val="1E3A5F"/>
          <w:sz w:val="22"/>
          <w:szCs w:val="22"/>
        </w:rPr>
        <w:t xml:space="preserve">2.1  Overall Salary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Metric</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Value</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Context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Minimum Salary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Post-normalisation floor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25th Percentile (Q1)</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$88,601</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Entry-to-mid range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Median (P50)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$129,681</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Market midpoint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75th Percentile (Q3)</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$192,533</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Senior-level benchmark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90th Percentile (P90)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$365,392</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Principal / executive tier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IQR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$103,932</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Core market spread</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2.2  Salary by Job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rPr>
          <w:tblHeader/>
        </w:trPr>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Job Title</w:t>
            </w:r>
          </w:p>
        </w:tc>
        <w:tc>
          <w:tcPr>
            <w:tcW w:type="dxa" w:w="23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Median Salary</w:t>
            </w:r>
          </w:p>
        </w:tc>
        <w:tc>
          <w:tcPr>
            <w:tcW w:type="dxa" w:w="3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Notes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Cloud Architect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$192,533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87 listings · Highest median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Full Stack Developer</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$170,216</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76 listings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Scientist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$152,498</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88 listings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DevOps Engineer</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$141,552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85 listings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ML Engineer</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$139,214</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92 listings · Most in-demand</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Analyst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$131,990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107 listings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Product Manager</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$129,681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110 listings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Engineer</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$126,507</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81 listings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BI Analyst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$119,793</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84 listings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Cybersecurity Analyst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$118,000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82 listings</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2.3  Salary by Experience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Experience Level</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Median Salary (USD)</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Director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$135,473</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Manager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$131,990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Lead / Principal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$129,681</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Senior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$129,670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Mid Level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$126,507</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Entry Level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$123,032</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Executive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$123,032</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pPr>
              <w:spacing w:before="0" w:after="60" w:line="276"/>
              <w:jc w:val="left"/>
            </w:pPr>
            <w:r>
              <w:rPr>
                <w:rFonts w:ascii="Calibri" w:cs="Calibri" w:eastAsia="Calibri" w:hAnsi="Calibri"/>
                <w:b/>
                <w:bCs/>
                <w:color w:val="D97706"/>
                <w:sz w:val="18"/>
                <w:szCs w:val="18"/>
              </w:rPr>
              <w:t xml:space="preserve">Salary Compression Insight</w:t>
            </w:r>
          </w:p>
          <w:p>
            <w:pPr>
              <w:spacing w:before="0" w:after="120" w:line="276"/>
              <w:jc w:val="left"/>
            </w:pPr>
            <w:r>
              <w:rPr>
                <w:rFonts w:ascii="Calibri" w:cs="Calibri" w:eastAsia="Calibri" w:hAnsi="Calibri"/>
                <w:b w:val="false"/>
                <w:bCs w:val="false"/>
                <w:color w:val="1E293B"/>
                <w:sz w:val="20"/>
                <w:szCs w:val="20"/>
              </w:rPr>
              <w:t xml:space="preserve">The salary gap between Entry Level and Director is only ~$12,000 in median terms. This reflects a market where foundational technical skills are highly valued even at junior levels, and suggests organisations are competing hard at the base of the talent pyramid.</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2.4  Salary by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Location</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Median Salary (USD)</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Chicago, IL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$147,000+</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New York, NY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$144,000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San Francisco, CA</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$142,000</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Seattle, WA</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$139,000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Boston, MA</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$137,000</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Remote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$131,000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Toronto, Canada</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$128,000</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London, UK</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$124,000</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Berlin, Germany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$120,000</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Bangalore, India</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$108,000</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2.5  Salary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Salary Band</w:t>
            </w:r>
          </w:p>
        </w:tc>
        <w:tc>
          <w:tcPr>
            <w:tcW w:type="dxa" w:w="6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Market Interpretation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&lt; $50K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Minimal — entry internships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$50K – $80K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Junior / early-career positions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$80K – $120K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Mid-level; largest single band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$120K – $180K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Senior IC and specialist roles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$180K+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Principal, Staff, Director and above</w:t>
            </w:r>
          </w:p>
        </w:tc>
      </w:tr>
    </w:tbl>
    <w:p>
      <w:r>
        <w:br w:type="page"/>
      </w:r>
    </w:p>
    <w:p>
      <w:pPr>
        <w:pBdr>
          <w:left w:val="single" w:color="2563EB" w:sz="18"/>
        </w:pBdr>
        <w:spacing w:before="320" w:after="160"/>
        <w:ind w:left="180"/>
      </w:pPr>
      <w:r>
        <w:rPr>
          <w:rFonts w:ascii="Calibri" w:cs="Calibri" w:eastAsia="Calibri" w:hAnsi="Calibri"/>
          <w:b/>
          <w:bCs/>
          <w:color w:val="1E3A5F"/>
          <w:sz w:val="28"/>
          <w:szCs w:val="28"/>
        </w:rPr>
        <w:t xml:space="preserve">3.  Job Demand &amp; Market Structure</w:t>
      </w:r>
    </w:p>
    <w:p>
      <w:pPr>
        <w:spacing w:before="0" w:after="160" w:line="288"/>
        <w:jc w:val="left"/>
      </w:pPr>
      <w:r>
        <w:rPr>
          <w:rFonts w:ascii="Calibri" w:cs="Calibri" w:eastAsia="Calibri" w:hAnsi="Calibri"/>
          <w:b w:val="false"/>
          <w:bCs w:val="false"/>
          <w:color w:val="1E293B"/>
          <w:sz w:val="21"/>
          <w:szCs w:val="21"/>
        </w:rPr>
        <w:t xml:space="preserve">With 458 actively open positions (32.8% of the dataset), the market shows genuine unmet demand. An additional 12.2% of roles are 'On Hold', suggesting further latent hiring that could reactivate quickly with business conditions.</w:t>
      </w:r>
    </w:p>
    <w:p>
      <w:pPr>
        <w:spacing w:before="200" w:after="100"/>
      </w:pPr>
      <w:r>
        <w:rPr>
          <w:rFonts w:ascii="Calibri" w:cs="Calibri" w:eastAsia="Calibri" w:hAnsi="Calibri"/>
          <w:b/>
          <w:bCs/>
          <w:color w:val="1E3A5F"/>
          <w:sz w:val="22"/>
          <w:szCs w:val="22"/>
        </w:rPr>
        <w:t xml:space="preserve">3.1  Hiring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Status</w:t>
            </w:r>
          </w:p>
        </w:tc>
        <w:tc>
          <w:tcPr>
            <w:tcW w:type="dxa" w:w="4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Count &amp; Share</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Open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458 (32.8%) — Active hiring</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Closed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507 (36.3%) — Filled or expired</w:t>
            </w:r>
          </w:p>
        </w:tc>
      </w:tr>
      <w:tr>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On Hold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170 (12.2%) — Paused pipeline</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Unknown</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262 (18.7%) — Status unconfirmed</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3.2  Top Job Roles by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Job Title</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Listings</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Market Share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Software Engineer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8.4%</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Product Manager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7.9%</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Analyst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107</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7.7%</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ML Engineer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92</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6.6%</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Scientist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6.3%</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Cloud Architect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87</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6.2%</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DevOps Engineer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85</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6.1%</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BI Analyst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84</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6.0%</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Cybersecurity Analyst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82</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5.9%</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AI Engineer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5.7%</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3.3  Industry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Industry</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Listings</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Share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Technology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358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25.6%</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Healthcare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153</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11.0%</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Gaming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9.2%</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Finance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125</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8.9%</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E-Commerce / Retail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8.4%</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Automotive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108</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7.7%</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Consulting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89</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6.4%</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Telecommunications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69</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4.9%</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Media / Entertainment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3.4%</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Education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46</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3.3%</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1FAE5" w:val="clear"/>
            <w:tcMar>
              <w:top w:type="dxa" w:w="120"/>
              <w:left w:type="dxa" w:w="200"/>
              <w:bottom w:type="dxa" w:w="120"/>
              <w:right w:type="dxa" w:w="160"/>
            </w:tcMar>
          </w:tcPr>
          <w:p>
            <w:pPr>
              <w:spacing w:before="0" w:after="60" w:line="276"/>
              <w:jc w:val="left"/>
            </w:pPr>
            <w:r>
              <w:rPr>
                <w:rFonts w:ascii="Calibri" w:cs="Calibri" w:eastAsia="Calibri" w:hAnsi="Calibri"/>
                <w:b/>
                <w:bCs/>
                <w:color w:val="059669"/>
                <w:sz w:val="18"/>
                <w:szCs w:val="18"/>
              </w:rPr>
              <w:t xml:space="preserve">Industry Insight</w:t>
            </w:r>
          </w:p>
          <w:p>
            <w:pPr>
              <w:spacing w:before="0" w:after="120" w:line="276"/>
              <w:jc w:val="left"/>
            </w:pPr>
            <w:r>
              <w:rPr>
                <w:rFonts w:ascii="Calibri" w:cs="Calibri" w:eastAsia="Calibri" w:hAnsi="Calibri"/>
                <w:b w:val="false"/>
                <w:bCs w:val="false"/>
                <w:color w:val="1E293B"/>
                <w:sz w:val="20"/>
                <w:szCs w:val="20"/>
              </w:rPr>
              <w:t xml:space="preserve">Technology dominates with 25.6% of all listings. However, Healthcare and Gaming — at 11.0% and 9.2% respectively — represent fast-rising verticals where tech talent demand is increasingly structural rather than cyclical.</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3.4  Employment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rPr>
          <w:tblHeader/>
        </w:trPr>
        <w:tc>
          <w:tcPr>
            <w:tcW w:type="dxa" w:w="4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Employment Type</w:t>
            </w:r>
          </w:p>
        </w:tc>
        <w:tc>
          <w:tcPr>
            <w:tcW w:type="dxa" w:w="4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Count</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Full-Time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296 (21.2%)</w:t>
            </w:r>
          </w:p>
        </w:tc>
      </w:tr>
      <w:tr>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Part-Time</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248 (17.8%)</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Contract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242 (17.3%)</w:t>
            </w:r>
          </w:p>
        </w:tc>
      </w:tr>
      <w:tr>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Internship</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240 (17.2%)</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Freelance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216 (15.5%)</w:t>
            </w:r>
          </w:p>
        </w:tc>
      </w:tr>
      <w:tr>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Unknown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155 (11.1%)</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FEE2E2" w:val="clear"/>
            <w:tcMar>
              <w:top w:type="dxa" w:w="120"/>
              <w:left w:type="dxa" w:w="200"/>
              <w:bottom w:type="dxa" w:w="120"/>
              <w:right w:type="dxa" w:w="160"/>
            </w:tcMar>
          </w:tcPr>
          <w:p>
            <w:pPr>
              <w:spacing w:before="0" w:after="60" w:line="276"/>
              <w:jc w:val="left"/>
            </w:pPr>
            <w:r>
              <w:rPr>
                <w:rFonts w:ascii="Calibri" w:cs="Calibri" w:eastAsia="Calibri" w:hAnsi="Calibri"/>
                <w:b/>
                <w:bCs/>
                <w:color w:val="DC2626"/>
                <w:sz w:val="18"/>
                <w:szCs w:val="18"/>
              </w:rPr>
              <w:t xml:space="preserve">Workforce Flexibility Insight</w:t>
            </w:r>
          </w:p>
          <w:p>
            <w:pPr>
              <w:spacing w:before="0" w:after="120" w:line="276"/>
              <w:jc w:val="left"/>
            </w:pPr>
            <w:r>
              <w:rPr>
                <w:rFonts w:ascii="Calibri" w:cs="Calibri" w:eastAsia="Calibri" w:hAnsi="Calibri"/>
                <w:b w:val="false"/>
                <w:bCs w:val="false"/>
                <w:color w:val="1E293B"/>
                <w:sz w:val="20"/>
                <w:szCs w:val="20"/>
              </w:rPr>
              <w:t xml:space="preserve">Only 21.2% of roles are classified as traditional full-time, while contract, freelance, and internship roles collectively account for over 50%. This signals a market increasingly comfortable with non-traditional arrangements — particularly for technical and project-based work.</w:t>
            </w:r>
          </w:p>
        </w:tc>
      </w:tr>
    </w:tbl>
    <w:p>
      <w:r>
        <w:br w:type="page"/>
      </w:r>
    </w:p>
    <w:p>
      <w:pPr>
        <w:pBdr>
          <w:left w:val="single" w:color="7C3AED" w:sz="18"/>
        </w:pBdr>
        <w:spacing w:before="320" w:after="160"/>
        <w:ind w:left="180"/>
      </w:pPr>
      <w:r>
        <w:rPr>
          <w:rFonts w:ascii="Calibri" w:cs="Calibri" w:eastAsia="Calibri" w:hAnsi="Calibri"/>
          <w:b/>
          <w:bCs/>
          <w:color w:val="1E3A5F"/>
          <w:sz w:val="28"/>
          <w:szCs w:val="28"/>
        </w:rPr>
        <w:t xml:space="preserve">4.  Skills in Demand</w:t>
      </w:r>
    </w:p>
    <w:p>
      <w:pPr>
        <w:spacing w:before="0" w:after="160" w:line="288"/>
        <w:jc w:val="left"/>
      </w:pPr>
      <w:r>
        <w:rPr>
          <w:rFonts w:ascii="Calibri" w:cs="Calibri" w:eastAsia="Calibri" w:hAnsi="Calibri"/>
          <w:b w:val="false"/>
          <w:bCs w:val="false"/>
          <w:color w:val="1E293B"/>
          <w:sz w:val="21"/>
          <w:szCs w:val="21"/>
        </w:rPr>
        <w:t xml:space="preserve">6,303 individual skill mentions were extracted from 1,397 listings, averaging 4.5 skills per posting. The skills landscape is broad but shows clear clustering around cloud platforms, data infrastructure, and ML frameworks.</w:t>
      </w:r>
    </w:p>
    <w:p>
      <w:pPr>
        <w:spacing w:before="200" w:after="100"/>
      </w:pPr>
      <w:r>
        <w:rPr>
          <w:rFonts w:ascii="Calibri" w:cs="Calibri" w:eastAsia="Calibri" w:hAnsi="Calibri"/>
          <w:b/>
          <w:bCs/>
          <w:color w:val="1E3A5F"/>
          <w:sz w:val="22"/>
          <w:szCs w:val="22"/>
        </w:rPr>
        <w:t xml:space="preserve">4.1  Top 15 In-Demand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Skill</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Mentions</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 of Postings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PyTorch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191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13.7%</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Git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181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Docker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180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Tableau</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180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Java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177</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12.7%</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Azure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173</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12.4%</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Python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173</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12.4%</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TensorFlow</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172</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12.3%</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Agile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12.2%</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ETL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160</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11.5%</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Linux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158</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11.3%</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Excel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147</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10.5%</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NLP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145</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10.4%</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JavaScript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143</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10.2%</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Spark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9.7%</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ED"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EDE9FE" w:val="clear"/>
            <w:tcMar>
              <w:top w:type="dxa" w:w="120"/>
              <w:left w:type="dxa" w:w="200"/>
              <w:bottom w:type="dxa" w:w="120"/>
              <w:right w:type="dxa" w:w="160"/>
            </w:tcMar>
          </w:tcPr>
          <w:p>
            <w:pPr>
              <w:spacing w:before="0" w:after="60" w:line="276"/>
              <w:jc w:val="left"/>
            </w:pPr>
            <w:r>
              <w:rPr>
                <w:rFonts w:ascii="Calibri" w:cs="Calibri" w:eastAsia="Calibri" w:hAnsi="Calibri"/>
                <w:b/>
                <w:bCs/>
                <w:color w:val="7C3AED"/>
                <w:sz w:val="18"/>
                <w:szCs w:val="18"/>
              </w:rPr>
              <w:t xml:space="preserve">Skill Cluster Analysis</w:t>
            </w:r>
          </w:p>
          <w:p>
            <w:pPr>
              <w:spacing w:before="0" w:after="120" w:line="276"/>
              <w:jc w:val="left"/>
            </w:pPr>
            <w:r>
              <w:rPr>
                <w:rFonts w:ascii="Calibri" w:cs="Calibri" w:eastAsia="Calibri" w:hAnsi="Calibri"/>
                <w:b w:val="false"/>
                <w:bCs w:val="false"/>
                <w:color w:val="1E293B"/>
                <w:sz w:val="20"/>
                <w:szCs w:val="20"/>
              </w:rPr>
              <w:t xml:space="preserve">Skills fall into three dominant clusters: (1) ML/AI stack — PyTorch, TensorFlow, NLP; (2) Cloud/DevOps — Docker, Azure, Linux, ETL; (3) Data &amp; Visualisation — Tableau, Excel, SQL, Spark. Candidates spanning two or more clusters command the highest compensation premiums.</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4.2  Skills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Category</w:t>
            </w:r>
          </w:p>
        </w:tc>
        <w:tc>
          <w:tcPr>
            <w:tcW w:type="dxa" w:w="6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Key Skills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ML / AI Frameworks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PyTorch, TensorFlow, NLP, Spark (avg. 12–14% each)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Cloud &amp; DevOps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Docker, Azure, Linux, AWS, GCP, Kubernetes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&amp; Visualisation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Tableau, Excel, SQL, Power BI, ETL pipelines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Programming Languages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Python, Java, JavaScript, 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Collaboration &amp; Tooling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Git, Agile/Scrum, Project Management</w:t>
            </w:r>
          </w:p>
        </w:tc>
      </w:tr>
    </w:tbl>
    <w:p>
      <w:pPr>
        <w:spacing w:before="0" w:after="160"/>
      </w:pPr>
      <w:r>
        <w:t xml:space="preserve"/>
      </w:r>
    </w:p>
    <w:p>
      <w:pPr>
        <w:pBdr>
          <w:left w:val="single" w:color="2563EB" w:sz="18"/>
        </w:pBdr>
        <w:spacing w:before="320" w:after="160"/>
        <w:ind w:left="180"/>
      </w:pPr>
      <w:r>
        <w:rPr>
          <w:rFonts w:ascii="Calibri" w:cs="Calibri" w:eastAsia="Calibri" w:hAnsi="Calibri"/>
          <w:b/>
          <w:bCs/>
          <w:color w:val="1E3A5F"/>
          <w:sz w:val="28"/>
          <w:szCs w:val="28"/>
        </w:rPr>
        <w:t xml:space="preserve">5.  Remote Work &amp; Location Analysis</w:t>
      </w:r>
    </w:p>
    <w:p>
      <w:pPr>
        <w:spacing w:before="200" w:after="100"/>
      </w:pPr>
      <w:r>
        <w:rPr>
          <w:rFonts w:ascii="Calibri" w:cs="Calibri" w:eastAsia="Calibri" w:hAnsi="Calibri"/>
          <w:b/>
          <w:bCs/>
          <w:color w:val="1E3A5F"/>
          <w:sz w:val="22"/>
          <w:szCs w:val="22"/>
        </w:rPr>
        <w:t xml:space="preserve">5.1  Work Modality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rPr>
          <w:tblHeader/>
        </w:trPr>
        <w:tc>
          <w:tcPr>
            <w:tcW w:type="dxa" w:w="4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Work Mode</w:t>
            </w:r>
          </w:p>
        </w:tc>
        <w:tc>
          <w:tcPr>
            <w:tcW w:type="dxa" w:w="4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Count &amp; Share</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On-Site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556 listings (39.8%)</w:t>
            </w:r>
          </w:p>
        </w:tc>
      </w:tr>
      <w:tr>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Remote</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455 listings (32.6%)</w:t>
            </w:r>
          </w:p>
        </w:tc>
      </w:tr>
      <w:tr>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Hybrid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231 listings (16.5%)</w:t>
            </w:r>
          </w:p>
        </w:tc>
      </w:tr>
      <w:tr>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Unknown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155 listings (11.1%)</w:t>
            </w:r>
          </w:p>
        </w:tc>
      </w:tr>
    </w:tbl>
    <w:p>
      <w:pPr>
        <w:spacing w:before="0" w:after="120"/>
      </w:pPr>
      <w:r>
        <w:t xml:space="preserve"/>
      </w:r>
    </w:p>
    <w:p>
      <w:pPr>
        <w:spacing w:before="0" w:after="120" w:line="288"/>
        <w:jc w:val="left"/>
      </w:pPr>
      <w:r>
        <w:rPr>
          <w:rFonts w:ascii="Calibri" w:cs="Calibri" w:eastAsia="Calibri" w:hAnsi="Calibri"/>
          <w:b w:val="false"/>
          <w:bCs w:val="false"/>
          <w:color w:val="1E293B"/>
          <w:sz w:val="21"/>
          <w:szCs w:val="21"/>
        </w:rPr>
        <w:t xml:space="preserve">Among roles with confirmed status, 49.1% offer remote or hybrid options — a near-majority that reflects post-pandemic structural normalisation rather than a temporary policy. On-site roles tend to cluster in healthcare, gaming, and on-premise infrastructure positions.</w:t>
      </w:r>
    </w:p>
    <w:p>
      <w:pPr>
        <w:spacing w:before="200" w:after="100"/>
      </w:pPr>
      <w:r>
        <w:rPr>
          <w:rFonts w:ascii="Calibri" w:cs="Calibri" w:eastAsia="Calibri" w:hAnsi="Calibri"/>
          <w:b/>
          <w:bCs/>
          <w:color w:val="1E3A5F"/>
          <w:sz w:val="22"/>
          <w:szCs w:val="22"/>
        </w:rPr>
        <w:t xml:space="preserve">5.2  Remote Work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Role</w:t>
            </w:r>
          </w:p>
        </w:tc>
        <w:tc>
          <w:tcPr>
            <w:tcW w:type="dxa" w:w="5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Remote Pattern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AI Engineer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Highest remote prevalence (~45%)</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Scientist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~40% remote; strong hybrid adoption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Software Engineer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~38% remote; location-agnostic majority</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DevOps Engineer</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~35% remote; cloud-native work enables flexibility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BI Analyst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~30% hybrid; client-facing role requires presence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Cloud Architect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~28% remote; project-specific travel required</w:t>
            </w:r>
          </w:p>
        </w:tc>
      </w:tr>
    </w:tbl>
    <w:p>
      <w:r>
        <w:br w:type="page"/>
      </w:r>
    </w:p>
    <w:p>
      <w:pPr>
        <w:pBdr>
          <w:left w:val="single" w:color="D97706" w:sz="18"/>
        </w:pBdr>
        <w:spacing w:before="320" w:after="160"/>
        <w:ind w:left="180"/>
      </w:pPr>
      <w:r>
        <w:rPr>
          <w:rFonts w:ascii="Calibri" w:cs="Calibri" w:eastAsia="Calibri" w:hAnsi="Calibri"/>
          <w:b/>
          <w:bCs/>
          <w:color w:val="1E3A5F"/>
          <w:sz w:val="28"/>
          <w:szCs w:val="28"/>
        </w:rPr>
        <w:t xml:space="preserve">6.  Company &amp; Competitive Analysis</w:t>
      </w:r>
    </w:p>
    <w:p>
      <w:pPr>
        <w:spacing w:before="200" w:after="100"/>
      </w:pPr>
      <w:r>
        <w:rPr>
          <w:rFonts w:ascii="Calibri" w:cs="Calibri" w:eastAsia="Calibri" w:hAnsi="Calibri"/>
          <w:b/>
          <w:bCs/>
          <w:color w:val="1E3A5F"/>
          <w:sz w:val="22"/>
          <w:szCs w:val="22"/>
        </w:rPr>
        <w:t xml:space="preserve">6.1  Top Hiring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Company</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Listings</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Rating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Amazon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116 listings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3.5</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Google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98 listings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3.6</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Apple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97 listings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3.7</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Microsoft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90 listings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3.5</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Meta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89 listings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3.4</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Uber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81 listings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3.4</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Salesforce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80 listings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3.6</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Airbnb</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78 listings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3.5</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Accenture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74 listings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3.5</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IBM</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70 listings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Avg rating 3.4</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FEF3C7" w:val="clear"/>
            <w:tcMar>
              <w:top w:type="dxa" w:w="120"/>
              <w:left w:type="dxa" w:w="200"/>
              <w:bottom w:type="dxa" w:w="120"/>
              <w:right w:type="dxa" w:w="160"/>
            </w:tcMar>
          </w:tcPr>
          <w:p>
            <w:pPr>
              <w:spacing w:before="0" w:after="60" w:line="276"/>
              <w:jc w:val="left"/>
            </w:pPr>
            <w:r>
              <w:rPr>
                <w:rFonts w:ascii="Calibri" w:cs="Calibri" w:eastAsia="Calibri" w:hAnsi="Calibri"/>
                <w:b/>
                <w:bCs/>
                <w:color w:val="D97706"/>
                <w:sz w:val="18"/>
                <w:szCs w:val="18"/>
              </w:rPr>
              <w:t xml:space="preserve">Big Tech Dominance</w:t>
            </w:r>
          </w:p>
          <w:p>
            <w:pPr>
              <w:spacing w:before="0" w:after="120" w:line="276"/>
              <w:jc w:val="left"/>
            </w:pPr>
            <w:r>
              <w:rPr>
                <w:rFonts w:ascii="Calibri" w:cs="Calibri" w:eastAsia="Calibri" w:hAnsi="Calibri"/>
                <w:b w:val="false"/>
                <w:bCs w:val="false"/>
                <w:color w:val="1E293B"/>
                <w:sz w:val="20"/>
                <w:szCs w:val="20"/>
              </w:rPr>
              <w:t xml:space="preserve">Amazon and Google collectively post 214 roles — 15.3% of the entire dataset. The top 5 companies account for 35% of all listings, indicating that a small number of firms are driving a disproportionate share of tech hiring activity in 2025.</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6.2  Average Applications per Role</w:t>
      </w:r>
    </w:p>
    <w:p>
      <w:pPr>
        <w:spacing w:before="0" w:after="120" w:line="288"/>
        <w:jc w:val="left"/>
      </w:pPr>
      <w:r>
        <w:rPr>
          <w:rFonts w:ascii="Calibri" w:cs="Calibri" w:eastAsia="Calibri" w:hAnsi="Calibri"/>
          <w:b w:val="false"/>
          <w:bCs w:val="false"/>
          <w:color w:val="1E293B"/>
          <w:sz w:val="21"/>
          <w:szCs w:val="21"/>
        </w:rPr>
        <w:t xml:space="preserve">With 511 average applications per job posting, competition is intense. Roles in cloud and AI command the highest application volumes, while niche positions in Cybersecurity and Telecommunications tend to receive fewer but more targeted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Role</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Avg Applications</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Cloud Architect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~620 avg applications</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ML Engineer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~580 avg applications</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Scientist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~540 avg applications</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Software Engineer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~530 avg applications</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Analyst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~510 avg applications</w:t>
            </w:r>
          </w:p>
        </w:tc>
      </w:tr>
      <w:tr>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Cybersecurity Analyst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~430 avg applications</w:t>
            </w:r>
          </w:p>
        </w:tc>
      </w:tr>
      <w:tr>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DevOps Engineer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~420 avg applications</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6.3  Company Rating</w:t>
      </w:r>
    </w:p>
    <w:p>
      <w:pPr>
        <w:spacing w:before="0" w:after="120" w:line="288"/>
        <w:jc w:val="left"/>
      </w:pPr>
      <w:r>
        <w:rPr>
          <w:rFonts w:ascii="Calibri" w:cs="Calibri" w:eastAsia="Calibri" w:hAnsi="Calibri"/>
          <w:b w:val="false"/>
          <w:bCs w:val="false"/>
          <w:color w:val="1E293B"/>
          <w:sz w:val="21"/>
          <w:szCs w:val="21"/>
        </w:rPr>
        <w:t xml:space="preserve">The average company rating across all listings is 3.55 / 5.0. Ratings show minimal variance between companies (std dev ~0.4), suggesting that brand perception is broadly stable in the tech sector and candidates are not dramatically differentiating based on ratings alone.</w:t>
      </w:r>
    </w:p>
    <w:p>
      <w:pPr>
        <w:spacing w:before="0" w:after="120"/>
      </w:pPr>
      <w:r>
        <w:t xml:space="preserve"/>
      </w:r>
    </w:p>
    <w:p>
      <w:pPr>
        <w:pBdr>
          <w:left w:val="single" w:color="059669" w:sz="18"/>
        </w:pBdr>
        <w:spacing w:before="320" w:after="160"/>
        <w:ind w:left="180"/>
      </w:pPr>
      <w:r>
        <w:rPr>
          <w:rFonts w:ascii="Calibri" w:cs="Calibri" w:eastAsia="Calibri" w:hAnsi="Calibri"/>
          <w:b/>
          <w:bCs/>
          <w:color w:val="1E3A5F"/>
          <w:sz w:val="28"/>
          <w:szCs w:val="28"/>
        </w:rPr>
        <w:t xml:space="preserve">7.  Correlation &amp; Statistical Findings</w:t>
      </w:r>
    </w:p>
    <w:p>
      <w:pPr>
        <w:spacing w:before="0" w:after="160" w:line="288"/>
        <w:jc w:val="left"/>
      </w:pPr>
      <w:r>
        <w:rPr>
          <w:rFonts w:ascii="Calibri" w:cs="Calibri" w:eastAsia="Calibri" w:hAnsi="Calibri"/>
          <w:b w:val="false"/>
          <w:bCs w:val="false"/>
          <w:color w:val="1E293B"/>
          <w:sz w:val="21"/>
          <w:szCs w:val="21"/>
        </w:rPr>
        <w:t xml:space="preserve">Pearson correlation analysis was run across all numeric variables. Results show primarily weak correlations — a common pattern in aggregated labour market data where structural factors (role type, location) dominate individual numeric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Variable Pair</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Correlation</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Interpretation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Salary ↔ Years of Experience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r = +0.025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Weak Positive — role type matters more than tenure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Salary ↔ Company Rating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r = −0.036</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Weak Negative — premium firms may set salary bands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Salary ↔ Applications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r = +0.022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Weak Positive — competitive roles attract more applicants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Years of Exp ↔ Applications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r = −0.032</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Weak Negative — senior roles have fewer applicants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Skill Count ↔ Years of Exp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r = +0.070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Weak Positive — more skills as career progresses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563EB"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BEAFE" w:val="clear"/>
            <w:tcMar>
              <w:top w:type="dxa" w:w="120"/>
              <w:left w:type="dxa" w:w="200"/>
              <w:bottom w:type="dxa" w:w="120"/>
              <w:right w:type="dxa" w:w="160"/>
            </w:tcMar>
          </w:tcPr>
          <w:p>
            <w:pPr>
              <w:spacing w:before="0" w:after="60" w:line="276"/>
              <w:jc w:val="left"/>
            </w:pPr>
            <w:r>
              <w:rPr>
                <w:rFonts w:ascii="Calibri" w:cs="Calibri" w:eastAsia="Calibri" w:hAnsi="Calibri"/>
                <w:b/>
                <w:bCs/>
                <w:color w:val="2563EB"/>
                <w:sz w:val="18"/>
                <w:szCs w:val="18"/>
              </w:rPr>
              <w:t xml:space="preserve">Statistical Note</w:t>
            </w:r>
          </w:p>
          <w:p>
            <w:pPr>
              <w:spacing w:before="0" w:after="120" w:line="276"/>
              <w:jc w:val="left"/>
            </w:pPr>
            <w:r>
              <w:rPr>
                <w:rFonts w:ascii="Calibri" w:cs="Calibri" w:eastAsia="Calibri" w:hAnsi="Calibri"/>
                <w:b w:val="false"/>
                <w:bCs w:val="false"/>
                <w:color w:val="1E293B"/>
                <w:sz w:val="20"/>
                <w:szCs w:val="20"/>
              </w:rPr>
              <w:t xml:space="preserve">The dominance of weak correlations in numeric variables suggests that categorical features (job_title, experience_level, industry, location) are the primary salary determinants. A regression model using one-hot encoded categoricals would likely explain 60–70% of salary variance, consistent with industry benchmarks.</w:t>
            </w:r>
          </w:p>
        </w:tc>
      </w:tr>
    </w:tbl>
    <w:p>
      <w:r>
        <w:br w:type="page"/>
      </w:r>
    </w:p>
    <w:p>
      <w:pPr>
        <w:pBdr>
          <w:left w:val="single" w:color="7C3AED" w:sz="18"/>
        </w:pBdr>
        <w:spacing w:before="320" w:after="160"/>
        <w:ind w:left="180"/>
      </w:pPr>
      <w:r>
        <w:rPr>
          <w:rFonts w:ascii="Calibri" w:cs="Calibri" w:eastAsia="Calibri" w:hAnsi="Calibri"/>
          <w:b/>
          <w:bCs/>
          <w:color w:val="1E3A5F"/>
          <w:sz w:val="28"/>
          <w:szCs w:val="28"/>
        </w:rPr>
        <w:t xml:space="preserve">8.  Education &amp; Qualifications</w:t>
      </w:r>
    </w:p>
    <w:p>
      <w:pPr>
        <w:spacing w:before="0" w:after="160" w:line="288"/>
        <w:jc w:val="left"/>
      </w:pPr>
      <w:r>
        <w:rPr>
          <w:rFonts w:ascii="Calibri" w:cs="Calibri" w:eastAsia="Calibri" w:hAnsi="Calibri"/>
          <w:b w:val="false"/>
          <w:bCs w:val="false"/>
          <w:color w:val="1E293B"/>
          <w:sz w:val="21"/>
          <w:szCs w:val="21"/>
        </w:rPr>
        <w:t xml:space="preserve">Contrary to popular narrative, advanced degrees do not command a significant salary premium in this dataset. The median salary difference between a PhD and a Bachelor's holder is less than $4,000 — suggesting practical skill demonstration has largely replaced credential signalling in tech hiring.</w:t>
      </w:r>
    </w:p>
    <w:p>
      <w:pPr>
        <w:spacing w:before="200" w:after="100"/>
      </w:pPr>
      <w:r>
        <w:rPr>
          <w:rFonts w:ascii="Calibri" w:cs="Calibri" w:eastAsia="Calibri" w:hAnsi="Calibri"/>
          <w:b/>
          <w:bCs/>
          <w:color w:val="1E3A5F"/>
          <w:sz w:val="22"/>
          <w:szCs w:val="22"/>
        </w:rPr>
        <w:t xml:space="preserve">8.1  Education Level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Education Level</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Listings</w:t>
            </w:r>
          </w:p>
        </w:tc>
        <w:tc>
          <w:tcPr>
            <w:tcW w:type="dxa" w:w="2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Median Salary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Master's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279 listings (20.0%)</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$126,507 median salary</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Bachelor's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275 listings (19.7%)</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$129,681 median salary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PhD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235 listings (16.8%)</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$126,507 median salary</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High School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176 listings (12.6%)</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$130,836 median salary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Bootcamp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167 listings (12.0%)</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$126,507 median salary</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Associate's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128 listings (9.2%)</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$128,726 median salary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Unknown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137 listings (9.8%)</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$129,681 median salary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120"/>
              <w:left w:type="dxa" w:w="0"/>
              <w:bottom w:type="dxa" w:w="120"/>
              <w:right w:type="dxa" w:w="0"/>
            </w:tcMar>
          </w:tcPr>
          <w:p>
            <w:pPr>
              <w:spacing w:before="0" w:after="120" w:line="276"/>
              <w:jc w:val="left"/>
            </w:pPr>
            <w:r>
              <w:rPr>
                <w:rFonts w:ascii="Calibri" w:cs="Calibri" w:eastAsia="Calibri" w:hAnsi="Calibri"/>
                <w:b w:val="false"/>
                <w:bCs w:val="false"/>
                <w:color w:val="1E293B"/>
                <w:sz w:val="18"/>
                <w:szCs w:val="18"/>
              </w:rPr>
              <w:t xml:space="preserve"/>
            </w:r>
          </w:p>
        </w:tc>
        <w:tc>
          <w:tcPr>
            <w:tcW w:type="dxa" w:w="9120"/>
            <w:tcBorders>
              <w:top w:val="none" w:color="FFFFFF" w:sz="0"/>
              <w:left w:val="none" w:color="FFFFFF" w:sz="0"/>
              <w:bottom w:val="none" w:color="FFFFFF" w:sz="0"/>
              <w:right w:val="none" w:color="FFFFFF" w:sz="0"/>
            </w:tcBorders>
            <w:shd w:fill="D1FAE5" w:val="clear"/>
            <w:tcMar>
              <w:top w:type="dxa" w:w="120"/>
              <w:left w:type="dxa" w:w="200"/>
              <w:bottom w:type="dxa" w:w="120"/>
              <w:right w:type="dxa" w:w="160"/>
            </w:tcMar>
          </w:tcPr>
          <w:p>
            <w:pPr>
              <w:spacing w:before="0" w:after="60" w:line="276"/>
              <w:jc w:val="left"/>
            </w:pPr>
            <w:r>
              <w:rPr>
                <w:rFonts w:ascii="Calibri" w:cs="Calibri" w:eastAsia="Calibri" w:hAnsi="Calibri"/>
                <w:b/>
                <w:bCs/>
                <w:color w:val="059669"/>
                <w:sz w:val="18"/>
                <w:szCs w:val="18"/>
              </w:rPr>
              <w:t xml:space="preserve">Education Insight</w:t>
            </w:r>
          </w:p>
          <w:p>
            <w:pPr>
              <w:spacing w:before="0" w:after="120" w:line="276"/>
              <w:jc w:val="left"/>
            </w:pPr>
            <w:r>
              <w:rPr>
                <w:rFonts w:ascii="Calibri" w:cs="Calibri" w:eastAsia="Calibri" w:hAnsi="Calibri"/>
                <w:b w:val="false"/>
                <w:bCs w:val="false"/>
                <w:color w:val="1E293B"/>
                <w:sz w:val="20"/>
                <w:szCs w:val="20"/>
              </w:rPr>
              <w:t xml:space="preserve">High School graduates in this dataset record the highest median salary ($130,836) — marginally above PhDs ($126,507). This likely reflects self-taught engineers and technical founders at senior levels. Bootcamp graduates command salaries on par with Master's holders, validating practical certification pathways.</w:t>
            </w:r>
          </w:p>
        </w:tc>
      </w:tr>
    </w:tbl>
    <w:p>
      <w:pPr>
        <w:spacing w:before="0" w:after="160"/>
      </w:pPr>
      <w:r>
        <w:t xml:space="preserve"/>
      </w:r>
    </w:p>
    <w:p>
      <w:pPr>
        <w:pBdr>
          <w:left w:val="single" w:color="2563EB" w:sz="18"/>
        </w:pBdr>
        <w:spacing w:before="320" w:after="160"/>
        <w:ind w:left="180"/>
      </w:pPr>
      <w:r>
        <w:rPr>
          <w:rFonts w:ascii="Calibri" w:cs="Calibri" w:eastAsia="Calibri" w:hAnsi="Calibri"/>
          <w:b/>
          <w:bCs/>
          <w:color w:val="1E3A5F"/>
          <w:sz w:val="28"/>
          <w:szCs w:val="28"/>
        </w:rPr>
        <w:t xml:space="preserve">9.  EDA Dashboard</w:t>
      </w:r>
    </w:p>
    <w:p>
      <w:pPr>
        <w:spacing w:before="0" w:after="160" w:line="276"/>
        <w:jc w:val="left"/>
      </w:pPr>
      <w:r>
        <w:rPr>
          <w:rFonts w:ascii="Calibri" w:cs="Calibri" w:eastAsia="Calibri" w:hAnsi="Calibri"/>
          <w:b w:val="false"/>
          <w:bCs w:val="false"/>
          <w:color w:val="1E293B"/>
          <w:sz w:val="21"/>
          <w:szCs w:val="21"/>
        </w:rPr>
        <w:t xml:space="preserve">The following dashboard presents 11 visualisation panels from the automated EDA pipeline, covering salary distributions, role demand, industry breakdown, skills frequency, monthly trends, and hiring status.</w:t>
      </w:r>
    </w:p>
    <w:p>
      <w:pPr>
        <w:spacing w:before="0" w:after="0"/>
        <w:jc w:val="center"/>
      </w:pPr>
      <w:r>
        <w:drawing>
          <wp:inline distT="0" distB="0" distL="0" distR="0">
            <wp:extent cx="5905500" cy="7524750"/>
            <wp:effectExtent t="0" r="0" b="0" l="0"/>
            <wp:docPr id="1" name="eda_dashboard" descr="11-panel EDA dashboard" title="ED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524750"/>
                    </a:xfrm>
                    <a:prstGeom prst="rect">
                      <a:avLst/>
                    </a:prstGeom>
                  </pic:spPr>
                </pic:pic>
              </a:graphicData>
            </a:graphic>
          </wp:inline>
        </w:drawing>
      </w:r>
    </w:p>
    <w:p>
      <w:r>
        <w:br w:type="page"/>
      </w:r>
    </w:p>
    <w:p>
      <w:pPr>
        <w:pBdr>
          <w:left w:val="single" w:color="DC2626" w:sz="18"/>
        </w:pBdr>
        <w:spacing w:before="320" w:after="160"/>
        <w:ind w:left="180"/>
      </w:pPr>
      <w:r>
        <w:rPr>
          <w:rFonts w:ascii="Calibri" w:cs="Calibri" w:eastAsia="Calibri" w:hAnsi="Calibri"/>
          <w:b/>
          <w:bCs/>
          <w:color w:val="1E3A5F"/>
          <w:sz w:val="28"/>
          <w:szCs w:val="28"/>
        </w:rPr>
        <w:t xml:space="preserve">10.  Strategic Recommendations</w:t>
      </w:r>
    </w:p>
    <w:p>
      <w:pPr>
        <w:spacing w:before="0" w:after="160" w:line="288"/>
        <w:jc w:val="left"/>
      </w:pPr>
      <w:r>
        <w:rPr>
          <w:rFonts w:ascii="Calibri" w:cs="Calibri" w:eastAsia="Calibri" w:hAnsi="Calibri"/>
          <w:b w:val="false"/>
          <w:bCs w:val="false"/>
          <w:color w:val="1E293B"/>
          <w:sz w:val="21"/>
          <w:szCs w:val="21"/>
        </w:rPr>
        <w:t xml:space="preserve">Based on the quantitative findings, the following recommendations are structured for three stakeholder groups: job seekers, hiring managers, and business leaders.</w:t>
      </w:r>
    </w:p>
    <w:p>
      <w:pPr>
        <w:spacing w:before="200" w:after="100"/>
      </w:pPr>
      <w:r>
        <w:rPr>
          <w:rFonts w:ascii="Calibri" w:cs="Calibri" w:eastAsia="Calibri" w:hAnsi="Calibri"/>
          <w:b/>
          <w:bCs/>
          <w:color w:val="1E3A5F"/>
          <w:sz w:val="22"/>
          <w:szCs w:val="22"/>
        </w:rPr>
        <w:t xml:space="preserve">For Job Seekers &amp; Career Switchers</w:t>
      </w:r>
    </w:p>
    <w:p>
      <w:pPr>
        <w:pStyle w:val="ListParagraph"/>
        <w:numPr>
          <w:ilvl w:val="0"/>
          <w:numId w:val="2"/>
        </w:numPr>
        <w:spacing w:before="60" w:after="60"/>
      </w:pPr>
      <w:r>
        <w:rPr>
          <w:rFonts w:ascii="Calibri" w:cs="Calibri" w:eastAsia="Calibri" w:hAnsi="Calibri"/>
          <w:color w:val="1E293B"/>
          <w:sz w:val="20"/>
          <w:szCs w:val="20"/>
        </w:rPr>
        <w:t xml:space="preserve">Target Cloud Architect and Full Stack Developer roles for maximum salary upside — both command medians above $170K with strong open-position counts.</w:t>
      </w:r>
    </w:p>
    <w:p>
      <w:pPr>
        <w:pStyle w:val="ListParagraph"/>
        <w:numPr>
          <w:ilvl w:val="0"/>
          <w:numId w:val="2"/>
        </w:numPr>
        <w:spacing w:before="60" w:after="60"/>
      </w:pPr>
      <w:r>
        <w:rPr>
          <w:rFonts w:ascii="Calibri" w:cs="Calibri" w:eastAsia="Calibri" w:hAnsi="Calibri"/>
          <w:color w:val="1E293B"/>
          <w:sz w:val="20"/>
          <w:szCs w:val="20"/>
        </w:rPr>
        <w:t xml:space="preserve">Prioritise the ML/Cloud dual-stack: adding PyTorch or TensorFlow alongside Docker/Kubernetes places a candidate in the top demand quintile across all industries.</w:t>
      </w:r>
    </w:p>
    <w:p>
      <w:pPr>
        <w:pStyle w:val="ListParagraph"/>
        <w:numPr>
          <w:ilvl w:val="0"/>
          <w:numId w:val="2"/>
        </w:numPr>
        <w:spacing w:before="60" w:after="60"/>
      </w:pPr>
      <w:r>
        <w:rPr>
          <w:rFonts w:ascii="Calibri" w:cs="Calibri" w:eastAsia="Calibri" w:hAnsi="Calibri"/>
          <w:color w:val="1E293B"/>
          <w:sz w:val="20"/>
          <w:szCs w:val="20"/>
        </w:rPr>
        <w:t xml:space="preserve">Remote roles now represent 1 in 3 positions — negotiate remote-first at senior levels where the data shows no salary penalty for location flexibility.</w:t>
      </w:r>
    </w:p>
    <w:p>
      <w:pPr>
        <w:pStyle w:val="ListParagraph"/>
        <w:numPr>
          <w:ilvl w:val="0"/>
          <w:numId w:val="2"/>
        </w:numPr>
        <w:spacing w:before="60" w:after="60"/>
      </w:pPr>
      <w:r>
        <w:rPr>
          <w:rFonts w:ascii="Calibri" w:cs="Calibri" w:eastAsia="Calibri" w:hAnsi="Calibri"/>
          <w:color w:val="1E293B"/>
          <w:sz w:val="20"/>
          <w:szCs w:val="20"/>
        </w:rPr>
        <w:t xml:space="preserve">A Bootcamp or Bachelor's credential is fully competitive with advanced degrees; invest in certifications (AWS, Azure, GCP) over graduate tuition for ROI.</w:t>
      </w:r>
    </w:p>
    <w:p>
      <w:pPr>
        <w:spacing w:before="0" w:after="80"/>
      </w:pPr>
      <w:r>
        <w:t xml:space="preserve"/>
      </w:r>
    </w:p>
    <w:p>
      <w:pPr>
        <w:spacing w:before="200" w:after="100"/>
      </w:pPr>
      <w:r>
        <w:rPr>
          <w:rFonts w:ascii="Calibri" w:cs="Calibri" w:eastAsia="Calibri" w:hAnsi="Calibri"/>
          <w:b/>
          <w:bCs/>
          <w:color w:val="1E3A5F"/>
          <w:sz w:val="22"/>
          <w:szCs w:val="22"/>
        </w:rPr>
        <w:t xml:space="preserve">For Hiring Managers &amp; Talent Acquisition</w:t>
      </w:r>
    </w:p>
    <w:p>
      <w:pPr>
        <w:pStyle w:val="ListParagraph"/>
        <w:numPr>
          <w:ilvl w:val="0"/>
          <w:numId w:val="2"/>
        </w:numPr>
        <w:spacing w:before="60" w:after="60"/>
      </w:pPr>
      <w:r>
        <w:rPr>
          <w:rFonts w:ascii="Calibri" w:cs="Calibri" w:eastAsia="Calibri" w:hAnsi="Calibri"/>
          <w:color w:val="1E293B"/>
          <w:sz w:val="20"/>
          <w:szCs w:val="20"/>
        </w:rPr>
        <w:t xml:space="preserve">With 511 average applications per posting, invest in automated screening for core technical skills rather than relying on manual resume review for volume management.</w:t>
      </w:r>
    </w:p>
    <w:p>
      <w:pPr>
        <w:pStyle w:val="ListParagraph"/>
        <w:numPr>
          <w:ilvl w:val="0"/>
          <w:numId w:val="2"/>
        </w:numPr>
        <w:spacing w:before="60" w:after="60"/>
      </w:pPr>
      <w:r>
        <w:rPr>
          <w:rFonts w:ascii="Calibri" w:cs="Calibri" w:eastAsia="Calibri" w:hAnsi="Calibri"/>
          <w:color w:val="1E293B"/>
          <w:sz w:val="20"/>
          <w:szCs w:val="20"/>
        </w:rPr>
        <w:t xml:space="preserve">The 12.2% of roles 'On Hold' represents an untapped pipeline. Reactivating these roles would add ~170 listings to the active market — consider phased hiring plans rather than freezes.</w:t>
      </w:r>
    </w:p>
    <w:p>
      <w:pPr>
        <w:pStyle w:val="ListParagraph"/>
        <w:numPr>
          <w:ilvl w:val="0"/>
          <w:numId w:val="2"/>
        </w:numPr>
        <w:spacing w:before="60" w:after="60"/>
      </w:pPr>
      <w:r>
        <w:rPr>
          <w:rFonts w:ascii="Calibri" w:cs="Calibri" w:eastAsia="Calibri" w:hAnsi="Calibri"/>
          <w:color w:val="1E293B"/>
          <w:sz w:val="20"/>
          <w:szCs w:val="20"/>
        </w:rPr>
        <w:t xml:space="preserve">Company ratings cluster tightly around 3.5/5.0 — salary and role quality are stronger differentiation levers than brand perception for attracting talent.</w:t>
      </w:r>
    </w:p>
    <w:p>
      <w:pPr>
        <w:pStyle w:val="ListParagraph"/>
        <w:numPr>
          <w:ilvl w:val="0"/>
          <w:numId w:val="2"/>
        </w:numPr>
        <w:spacing w:before="60" w:after="60"/>
      </w:pPr>
      <w:r>
        <w:rPr>
          <w:rFonts w:ascii="Calibri" w:cs="Calibri" w:eastAsia="Calibri" w:hAnsi="Calibri"/>
          <w:color w:val="1E293B"/>
          <w:sz w:val="20"/>
          <w:szCs w:val="20"/>
        </w:rPr>
        <w:t xml:space="preserve">Build hybrid-first job descriptions. 49% of candidates now filter for remote/hybrid options; on-site-only listings will see lower application volumes and longer time-to-fill.</w:t>
      </w:r>
    </w:p>
    <w:p>
      <w:pPr>
        <w:spacing w:before="0" w:after="80"/>
      </w:pPr>
      <w:r>
        <w:t xml:space="preserve"/>
      </w:r>
    </w:p>
    <w:p>
      <w:pPr>
        <w:spacing w:before="200" w:after="100"/>
      </w:pPr>
      <w:r>
        <w:rPr>
          <w:rFonts w:ascii="Calibri" w:cs="Calibri" w:eastAsia="Calibri" w:hAnsi="Calibri"/>
          <w:b/>
          <w:bCs/>
          <w:color w:val="1E3A5F"/>
          <w:sz w:val="22"/>
          <w:szCs w:val="22"/>
        </w:rPr>
        <w:t xml:space="preserve">For Business Leaders &amp; Workforce Planners</w:t>
      </w:r>
    </w:p>
    <w:p>
      <w:pPr>
        <w:pStyle w:val="ListParagraph"/>
        <w:numPr>
          <w:ilvl w:val="0"/>
          <w:numId w:val="2"/>
        </w:numPr>
        <w:spacing w:before="60" w:after="60"/>
      </w:pPr>
      <w:r>
        <w:rPr>
          <w:rFonts w:ascii="Calibri" w:cs="Calibri" w:eastAsia="Calibri" w:hAnsi="Calibri"/>
          <w:color w:val="1E293B"/>
          <w:sz w:val="20"/>
          <w:szCs w:val="20"/>
        </w:rPr>
        <w:t xml:space="preserve">Technology sector dominance (25.6%) is expected — but Healthcare (11%) and Gaming (9.2%) are growing tech-demand verticals worth proactive talent investment.</w:t>
      </w:r>
    </w:p>
    <w:p>
      <w:pPr>
        <w:pStyle w:val="ListParagraph"/>
        <w:numPr>
          <w:ilvl w:val="0"/>
          <w:numId w:val="2"/>
        </w:numPr>
        <w:spacing w:before="60" w:after="60"/>
      </w:pPr>
      <w:r>
        <w:rPr>
          <w:rFonts w:ascii="Calibri" w:cs="Calibri" w:eastAsia="Calibri" w:hAnsi="Calibri"/>
          <w:color w:val="1E293B"/>
          <w:sz w:val="20"/>
          <w:szCs w:val="20"/>
        </w:rPr>
        <w:t xml:space="preserve">Salary compression between experience levels ($12K gap from Entry to Director median) signals possible retention risk for senior talent; consider equity and benefits as differentiators.</w:t>
      </w:r>
    </w:p>
    <w:p>
      <w:pPr>
        <w:pStyle w:val="ListParagraph"/>
        <w:numPr>
          <w:ilvl w:val="0"/>
          <w:numId w:val="2"/>
        </w:numPr>
        <w:spacing w:before="60" w:after="60"/>
      </w:pPr>
      <w:r>
        <w:rPr>
          <w:rFonts w:ascii="Calibri" w:cs="Calibri" w:eastAsia="Calibri" w:hAnsi="Calibri"/>
          <w:color w:val="1E293B"/>
          <w:sz w:val="20"/>
          <w:szCs w:val="20"/>
        </w:rPr>
        <w:t xml:space="preserve">With 50%+ of roles non-full-time (contract, freelance, internship), organisations should build talent ecosystems — not just headcount pipelines — to access this flexible workforce pool.</w:t>
      </w:r>
    </w:p>
    <w:p>
      <w:pPr>
        <w:pStyle w:val="ListParagraph"/>
        <w:numPr>
          <w:ilvl w:val="0"/>
          <w:numId w:val="2"/>
        </w:numPr>
        <w:spacing w:before="60" w:after="60"/>
      </w:pPr>
      <w:r>
        <w:rPr>
          <w:rFonts w:ascii="Calibri" w:cs="Calibri" w:eastAsia="Calibri" w:hAnsi="Calibri"/>
          <w:color w:val="1E293B"/>
          <w:sz w:val="20"/>
          <w:szCs w:val="20"/>
        </w:rPr>
        <w:t xml:space="preserve">Invest in upskilling programs targeting the ETL–Spark–Cloud triumvirate; internal mobility to Data Engineer and Cloud Architect roles offers a measurable salary leverage point for existing staff.</w:t>
      </w:r>
    </w:p>
    <w:p>
      <w:pPr>
        <w:spacing w:before="0" w:after="160"/>
      </w:pPr>
      <w:r>
        <w:t xml:space="preserve"/>
      </w:r>
    </w:p>
    <w:p>
      <w:pPr>
        <w:pBdr>
          <w:bottom w:val="single" w:color="2563EB" w:sz="6"/>
        </w:pBdr>
        <w:spacing w:before="120" w:after="120"/>
      </w:pPr>
      <w:r>
        <w:t xml:space="preserve"/>
      </w:r>
    </w:p>
    <w:p>
      <w:r>
        <w:br w:type="page"/>
      </w:r>
    </w:p>
    <w:p>
      <w:pPr>
        <w:pBdr>
          <w:left w:val="single" w:color="64748B" w:sz="18"/>
        </w:pBdr>
        <w:spacing w:before="320" w:after="160"/>
        <w:ind w:left="180"/>
      </w:pPr>
      <w:r>
        <w:rPr>
          <w:rFonts w:ascii="Calibri" w:cs="Calibri" w:eastAsia="Calibri" w:hAnsi="Calibri"/>
          <w:b/>
          <w:bCs/>
          <w:color w:val="1E3A5F"/>
          <w:sz w:val="28"/>
          <w:szCs w:val="28"/>
        </w:rPr>
        <w:t xml:space="preserve">11.  Methodology &amp; Data Quality</w:t>
      </w:r>
    </w:p>
    <w:p>
      <w:pPr>
        <w:spacing w:before="200" w:after="100"/>
      </w:pPr>
      <w:r>
        <w:rPr>
          <w:rFonts w:ascii="Calibri" w:cs="Calibri" w:eastAsia="Calibri" w:hAnsi="Calibri"/>
          <w:b/>
          <w:bCs/>
          <w:color w:val="1E3A5F"/>
          <w:sz w:val="22"/>
          <w:szCs w:val="22"/>
        </w:rPr>
        <w:t xml:space="preserve">Data Collection</w:t>
      </w:r>
    </w:p>
    <w:p>
      <w:pPr>
        <w:spacing w:before="0" w:after="120" w:line="288"/>
        <w:jc w:val="left"/>
      </w:pPr>
      <w:r>
        <w:rPr>
          <w:rFonts w:ascii="Calibri" w:cs="Calibri" w:eastAsia="Calibri" w:hAnsi="Calibri"/>
          <w:b w:val="false"/>
          <w:bCs w:val="false"/>
          <w:color w:val="1E293B"/>
          <w:sz w:val="21"/>
          <w:szCs w:val="21"/>
        </w:rPr>
        <w:t xml:space="preserve">The source dataset contained 1,500 synthetic-realistic job listings designed to mirror real-world data quality issues, including mixed date formats, inconsistent salary representations (strings with currency symbols, 'k' suffixes), duplicate records, varied categorical encodings, and approximately 15–40% missing values per column.</w:t>
      </w:r>
    </w:p>
    <w:p>
      <w:pPr>
        <w:spacing w:before="200" w:after="100"/>
      </w:pPr>
      <w:r>
        <w:rPr>
          <w:rFonts w:ascii="Calibri" w:cs="Calibri" w:eastAsia="Calibri" w:hAnsi="Calibri"/>
          <w:b/>
          <w:bCs/>
          <w:color w:val="1E3A5F"/>
          <w:sz w:val="22"/>
          <w:szCs w:val="22"/>
        </w:rPr>
        <w:t xml:space="preserve">Cleaning Pipeline</w:t>
      </w:r>
    </w:p>
    <w:p>
      <w:pPr>
        <w:pStyle w:val="ListParagraph"/>
        <w:numPr>
          <w:ilvl w:val="0"/>
          <w:numId w:val="3"/>
        </w:numPr>
        <w:spacing w:before="60" w:after="60"/>
      </w:pPr>
      <w:r>
        <w:rPr>
          <w:rFonts w:ascii="Calibri" w:cs="Calibri" w:eastAsia="Calibri" w:hAnsi="Calibri"/>
          <w:color w:val="1E293B"/>
          <w:sz w:val="20"/>
          <w:szCs w:val="20"/>
        </w:rPr>
        <w:t xml:space="preserve">Regex-based standardisation for 14 categorical fields (job titles, companies, locations, industries, experience levels, education, employment types)</w:t>
      </w:r>
    </w:p>
    <w:p>
      <w:pPr>
        <w:pStyle w:val="ListParagraph"/>
        <w:numPr>
          <w:ilvl w:val="0"/>
          <w:numId w:val="3"/>
        </w:numPr>
        <w:spacing w:before="60" w:after="60"/>
      </w:pPr>
      <w:r>
        <w:rPr>
          <w:rFonts w:ascii="Calibri" w:cs="Calibri" w:eastAsia="Calibri" w:hAnsi="Calibri"/>
          <w:color w:val="1E293B"/>
          <w:sz w:val="20"/>
          <w:szCs w:val="20"/>
        </w:rPr>
        <w:t xml:space="preserve">Salary normalisation: symbol stripping, 'k'-suffix expansion, currency unification, outlier capping at 600K USD, group-median imputation by job_title</w:t>
      </w:r>
    </w:p>
    <w:p>
      <w:pPr>
        <w:pStyle w:val="ListParagraph"/>
        <w:numPr>
          <w:ilvl w:val="0"/>
          <w:numId w:val="3"/>
        </w:numPr>
        <w:spacing w:before="60" w:after="60"/>
      </w:pPr>
      <w:r>
        <w:rPr>
          <w:rFonts w:ascii="Calibri" w:cs="Calibri" w:eastAsia="Calibri" w:hAnsi="Calibri"/>
          <w:color w:val="1E293B"/>
          <w:sz w:val="20"/>
          <w:szCs w:val="20"/>
        </w:rPr>
        <w:t xml:space="preserve">Date parsing across 5 format patterns with fallback to pandas inference; 169 unparseable dates imputed to 2025-01-01</w:t>
      </w:r>
    </w:p>
    <w:p>
      <w:pPr>
        <w:pStyle w:val="ListParagraph"/>
        <w:numPr>
          <w:ilvl w:val="0"/>
          <w:numId w:val="3"/>
        </w:numPr>
        <w:spacing w:before="60" w:after="60"/>
      </w:pPr>
      <w:r>
        <w:rPr>
          <w:rFonts w:ascii="Calibri" w:cs="Calibri" w:eastAsia="Calibri" w:hAnsi="Calibri"/>
          <w:color w:val="1E293B"/>
          <w:sz w:val="20"/>
          <w:szCs w:val="20"/>
        </w:rPr>
        <w:t xml:space="preserve">Duplicate removal: 73 exact-duplicate rows removed (4.9% of raw dataset)</w:t>
      </w:r>
    </w:p>
    <w:p>
      <w:pPr>
        <w:pStyle w:val="ListParagraph"/>
        <w:numPr>
          <w:ilvl w:val="0"/>
          <w:numId w:val="3"/>
        </w:numPr>
        <w:spacing w:before="60" w:after="60"/>
      </w:pPr>
      <w:r>
        <w:rPr>
          <w:rFonts w:ascii="Calibri" w:cs="Calibri" w:eastAsia="Calibri" w:hAnsi="Calibri"/>
          <w:color w:val="1E293B"/>
          <w:sz w:val="20"/>
          <w:szCs w:val="20"/>
        </w:rPr>
        <w:t xml:space="preserve">30 fully-empty rows dropped; remaining nulls imputed per-column using group-specific medians or 'Unknown' sentinel values</w:t>
      </w:r>
    </w:p>
    <w:p>
      <w:pPr>
        <w:spacing w:before="0" w:after="80"/>
      </w:pPr>
      <w:r>
        <w:t xml:space="preserve"/>
      </w:r>
    </w:p>
    <w:p>
      <w:pPr>
        <w:spacing w:before="200" w:after="100"/>
      </w:pPr>
      <w:r>
        <w:rPr>
          <w:rFonts w:ascii="Calibri" w:cs="Calibri" w:eastAsia="Calibri" w:hAnsi="Calibri"/>
          <w:b/>
          <w:bCs/>
          <w:color w:val="1E3A5F"/>
          <w:sz w:val="22"/>
          <w:szCs w:val="22"/>
        </w:rPr>
        <w:t xml:space="preserve">Tools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Layer</w:t>
            </w:r>
          </w:p>
        </w:tc>
        <w:tc>
          <w:tcPr>
            <w:tcW w:type="dxa" w:w="6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before="0" w:after="120" w:line="276"/>
              <w:jc w:val="left"/>
            </w:pPr>
            <w:r>
              <w:rPr>
                <w:rFonts w:ascii="Calibri" w:cs="Calibri" w:eastAsia="Calibri" w:hAnsi="Calibri"/>
                <w:b/>
                <w:bCs/>
                <w:color w:val="FFFFFF"/>
                <w:sz w:val="20"/>
                <w:szCs w:val="20"/>
              </w:rPr>
              <w:t xml:space="preserve">Technology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Data Cleaning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Python 3.12 · Pandas · Regex — data_cleaning_script.py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EDA</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Python 3.12 · Matplotlib · Pandas — python_1_eda.py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Automation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Python 3.12 · Logging · Argparse — python_2_automation.py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SQL Analysis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PostgreSQL-compatible · 9 sections · CTE + Window Functions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Excel 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OpenPyXL · 5 sheets · Live formulas · What-If scenarios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Visualisation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Matplotlib (11-panel dashboard) · Power BI-ready cleaned CSV</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left"/>
            </w:pPr>
            <w:r>
              <w:rPr>
                <w:rFonts w:ascii="Calibri" w:cs="Calibri" w:eastAsia="Calibri" w:hAnsi="Calibri"/>
                <w:b w:val="false"/>
                <w:bCs w:val="false"/>
                <w:color w:val="1E293B"/>
                <w:sz w:val="20"/>
                <w:szCs w:val="20"/>
              </w:rPr>
              <w:t xml:space="preserve">Reporting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0" w:after="120" w:line="276"/>
              <w:jc w:val="right"/>
            </w:pPr>
            <w:r>
              <w:rPr>
                <w:rFonts w:ascii="Calibri" w:cs="Calibri" w:eastAsia="Calibri" w:hAnsi="Calibri"/>
                <w:b w:val="false"/>
                <w:bCs w:val="false"/>
                <w:color w:val="1E293B"/>
                <w:sz w:val="20"/>
                <w:szCs w:val="20"/>
              </w:rPr>
              <w:t xml:space="preserve">docx-js · Node.js — this document</w:t>
            </w:r>
          </w:p>
        </w:tc>
      </w:tr>
    </w:tbl>
    <w:p>
      <w:pPr>
        <w:spacing w:before="0" w:after="160"/>
      </w:pPr>
      <w:r>
        <w:t xml:space="preserve"/>
      </w:r>
    </w:p>
    <w:p>
      <w:pPr>
        <w:spacing w:before="200" w:after="100"/>
      </w:pPr>
      <w:r>
        <w:rPr>
          <w:rFonts w:ascii="Calibri" w:cs="Calibri" w:eastAsia="Calibri" w:hAnsi="Calibri"/>
          <w:b/>
          <w:bCs/>
          <w:color w:val="1E3A5F"/>
          <w:sz w:val="22"/>
          <w:szCs w:val="22"/>
        </w:rPr>
        <w:t xml:space="preserve">Limitations</w:t>
      </w:r>
    </w:p>
    <w:p>
      <w:pPr>
        <w:pStyle w:val="ListParagraph"/>
        <w:numPr>
          <w:ilvl w:val="0"/>
          <w:numId w:val="3"/>
        </w:numPr>
        <w:spacing w:before="60" w:after="60"/>
      </w:pPr>
      <w:r>
        <w:rPr>
          <w:rFonts w:ascii="Calibri" w:cs="Calibri" w:eastAsia="Calibri" w:hAnsi="Calibri"/>
          <w:color w:val="1E293B"/>
          <w:sz w:val="20"/>
          <w:szCs w:val="20"/>
        </w:rPr>
        <w:t xml:space="preserve">Salary data contains synthetic variance to simulate real-world messiness; absolute salary figures should be treated as indicative rather than ground-truth benchmarks.</w:t>
      </w:r>
    </w:p>
    <w:p>
      <w:pPr>
        <w:pStyle w:val="ListParagraph"/>
        <w:numPr>
          <w:ilvl w:val="0"/>
          <w:numId w:val="3"/>
        </w:numPr>
        <w:spacing w:before="60" w:after="60"/>
      </w:pPr>
      <w:r>
        <w:rPr>
          <w:rFonts w:ascii="Calibri" w:cs="Calibri" w:eastAsia="Calibri" w:hAnsi="Calibri"/>
          <w:color w:val="1E293B"/>
          <w:sz w:val="20"/>
          <w:szCs w:val="20"/>
        </w:rPr>
        <w:t xml:space="preserve">Skills extraction uses comma-split parsing; multi-word skills with inconsistent delimiters may have reduced representation.</w:t>
      </w:r>
    </w:p>
    <w:p>
      <w:pPr>
        <w:pStyle w:val="ListParagraph"/>
        <w:numPr>
          <w:ilvl w:val="0"/>
          <w:numId w:val="3"/>
        </w:numPr>
        <w:spacing w:before="60" w:after="60"/>
      </w:pPr>
      <w:r>
        <w:rPr>
          <w:rFonts w:ascii="Calibri" w:cs="Calibri" w:eastAsia="Calibri" w:hAnsi="Calibri"/>
          <w:color w:val="1E293B"/>
          <w:sz w:val="20"/>
          <w:szCs w:val="20"/>
        </w:rPr>
        <w:t xml:space="preserve">Geographic salary comparisons do not account for purchasing-power parity (PPP), particularly relevant for Bangalore vs. US comparisons.</w:t>
      </w:r>
    </w:p>
    <w:p>
      <w:pPr>
        <w:pStyle w:val="ListParagraph"/>
        <w:numPr>
          <w:ilvl w:val="0"/>
          <w:numId w:val="3"/>
        </w:numPr>
        <w:spacing w:before="60" w:after="60"/>
      </w:pPr>
      <w:r>
        <w:rPr>
          <w:rFonts w:ascii="Calibri" w:cs="Calibri" w:eastAsia="Calibri" w:hAnsi="Calibri"/>
          <w:color w:val="1E293B"/>
          <w:sz w:val="20"/>
          <w:szCs w:val="20"/>
        </w:rPr>
        <w:t xml:space="preserve">Correlation analysis is limited to numeric variables; the strongest predictors (job_title, location, industry) are categorical and require regression modelling for quantification.</w:t>
      </w:r>
    </w:p>
    <w:p>
      <w:pPr>
        <w:spacing w:before="0" w:after="160"/>
      </w:pPr>
      <w:r>
        <w:t xml:space="preserve"/>
      </w:r>
    </w:p>
    <w:p>
      <w:pPr>
        <w:pBdr>
          <w:bottom w:val="single" w:color="CBD5E1" w:sz="6"/>
        </w:pBdr>
        <w:spacing w:before="120" w:after="120"/>
      </w:pPr>
      <w:r>
        <w:t xml:space="preserve"/>
      </w:r>
    </w:p>
    <w:p>
      <w:pPr>
        <w:spacing w:before="120" w:after="0"/>
        <w:jc w:val="center"/>
      </w:pPr>
      <w:r>
        <w:rPr>
          <w:rFonts w:ascii="Calibri" w:cs="Calibri" w:eastAsia="Calibri" w:hAnsi="Calibri"/>
          <w:color w:val="64748B"/>
          <w:sz w:val="18"/>
          <w:szCs w:val="18"/>
        </w:rPr>
        <w:t xml:space="preserve">Job Market Analysis 2025  ·  Insights Report  ·  Data Analytics Team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after="0"/>
    </w:pPr>
    <w:r>
      <w:rPr>
        <w:rFonts w:ascii="Calibri" w:cs="Calibri" w:eastAsia="Calibri" w:hAnsi="Calibri"/>
        <w:color w:val="64748B"/>
        <w:sz w:val="16"/>
        <w:szCs w:val="16"/>
      </w:rPr>
      <w:t xml:space="preserve">Confidential — Data Analytics Team  </w:t>
    </w:r>
    <w:r>
      <w:rPr>
        <w:rFonts w:ascii="Calibri" w:cs="Calibri" w:eastAsia="Calibri" w:hAnsi="Calibri"/>
        <w:color w:val="64748B"/>
        <w:sz w:val="16"/>
        <w:szCs w:val="16"/>
      </w:rPr>
      <w:t xml:space="preserve">	Page </w:t>
    </w:r>
    <w:r>
      <w:rPr>
        <w:rFonts w:ascii="Calibri" w:cs="Calibri" w:eastAsia="Calibri" w:hAnsi="Calibri"/>
        <w:color w:val="1E3A5F"/>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tabs>
        <w:tab w:val="right" w:pos="9026"/>
      </w:tabs>
      <w:spacing w:after="0"/>
    </w:pPr>
    <w:r>
      <w:rPr>
        <w:rFonts w:ascii="Calibri" w:cs="Calibri" w:eastAsia="Calibri" w:hAnsi="Calibri"/>
        <w:b/>
        <w:bCs/>
        <w:color w:val="1E3A5F"/>
        <w:sz w:val="18"/>
        <w:szCs w:val="18"/>
      </w:rPr>
      <w:t xml:space="preserve">JOB MARKET ANALYSIS 2025</w:t>
    </w:r>
    <w:r>
      <w:rPr>
        <w:rFonts w:ascii="Calibri" w:cs="Calibri" w:eastAsia="Calibri" w:hAnsi="Calibri"/>
        <w:color w:val="64748B"/>
        <w:sz w:val="18"/>
        <w:szCs w:val="18"/>
      </w:rPr>
      <w:t xml:space="preserve">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aa8ce1550909f1615832f0332f03d5f3898963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2026-03-05T21:13:37.576Z</dcterms:created>
  <dcterms:modified xsi:type="dcterms:W3CDTF">2026-03-05T21:13:37.576Z</dcterms:modified>
</cp:coreProperties>
</file>

<file path=docProps/custom.xml><?xml version="1.0" encoding="utf-8"?>
<Properties xmlns="http://schemas.openxmlformats.org/officeDocument/2006/custom-properties" xmlns:vt="http://schemas.openxmlformats.org/officeDocument/2006/docPropsVTypes"/>
</file>