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5A92" w:rsidRPr="00AE41A8" w:rsidRDefault="008F4A61" w:rsidP="000501CD">
      <w:pPr>
        <w:pStyle w:val="Heading1"/>
        <w:jc w:val="center"/>
        <w:rPr>
          <w:rFonts w:ascii="SofiaSans Bold" w:hAnsi="SofiaSans Bold"/>
          <w:sz w:val="28"/>
        </w:rPr>
      </w:pPr>
      <w:r>
        <w:rPr>
          <w:rFonts w:ascii="SofiaSans Bold" w:hAnsi="SofiaSans Bold"/>
          <w:sz w:val="28"/>
        </w:rPr>
        <w:t xml:space="preserve">ПРИЛОЖЕНИЕ № </w:t>
      </w:r>
      <w:r>
        <w:rPr>
          <w:rFonts w:ascii="SofiaSans Bold" w:hAnsi="SofiaSans Bold"/>
          <w:sz w:val="28"/>
          <w:lang w:val="bg-BG"/>
        </w:rPr>
        <w:t>2</w:t>
      </w:r>
      <w:r w:rsidR="00C675FF" w:rsidRPr="00AE41A8">
        <w:rPr>
          <w:rFonts w:ascii="SofiaSans Bold" w:hAnsi="SofiaSans Bold"/>
          <w:sz w:val="28"/>
        </w:rPr>
        <w:br/>
      </w:r>
      <w:r w:rsidRPr="008F4A61">
        <w:rPr>
          <w:rFonts w:ascii="SofiaSans Bold" w:hAnsi="SofiaSans Bold"/>
          <w:sz w:val="28"/>
        </w:rPr>
        <w:t>Формуляр за подаване на идея за районен граждански бюджет</w:t>
      </w:r>
    </w:p>
    <w:p w:rsidR="0031664D" w:rsidRPr="000339CD" w:rsidRDefault="0031664D" w:rsidP="000501CD">
      <w:pPr>
        <w:pStyle w:val="Heading2"/>
        <w:jc w:val="center"/>
        <w:rPr>
          <w:rFonts w:ascii="SofiaSans" w:hAnsi="SofiaSans"/>
          <w:sz w:val="24"/>
          <w:lang w:val="bg-BG"/>
        </w:rPr>
      </w:pPr>
    </w:p>
    <w:p w:rsidR="000F5A92" w:rsidRPr="00AE41A8" w:rsidRDefault="00C675FF" w:rsidP="000501CD">
      <w:pPr>
        <w:pStyle w:val="Heading2"/>
        <w:jc w:val="center"/>
        <w:rPr>
          <w:rFonts w:ascii="SofiaSans Bold" w:hAnsi="SofiaSans Bold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Инициатива „Идеи за града“</w:t>
      </w:r>
      <w:r w:rsidRPr="00AE41A8">
        <w:rPr>
          <w:rFonts w:ascii="SofiaSans Bold" w:hAnsi="SofiaSans Bold"/>
          <w:lang w:val="bg-BG"/>
        </w:rPr>
        <w:br/>
      </w:r>
    </w:p>
    <w:p w:rsidR="00AE41A8" w:rsidRPr="00AE41A8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преди попълване на формуляра се запознайте с условията и критериите за допустимост, определени в Методологията за организацията и изпълнението на програма „Граждан</w:t>
      </w:r>
      <w:r>
        <w:rPr>
          <w:rFonts w:ascii="SofiaSans" w:hAnsi="SofiaSans"/>
          <w:i/>
          <w:sz w:val="22"/>
          <w:lang w:val="bg-BG"/>
        </w:rPr>
        <w:t>ски бюджет“ на Столична община.</w:t>
      </w:r>
    </w:p>
    <w:p w:rsidR="00AE41A8" w:rsidRPr="000339CD" w:rsidRDefault="00AE41A8" w:rsidP="00AE41A8">
      <w:pPr>
        <w:ind w:firstLine="720"/>
        <w:jc w:val="center"/>
        <w:rPr>
          <w:rFonts w:ascii="SofiaSans" w:hAnsi="SofiaSans"/>
          <w:i/>
          <w:sz w:val="22"/>
          <w:lang w:val="bg-BG"/>
        </w:rPr>
      </w:pPr>
      <w:r w:rsidRPr="00AE41A8">
        <w:rPr>
          <w:rFonts w:ascii="SofiaSans" w:hAnsi="SofiaSans"/>
          <w:i/>
          <w:sz w:val="22"/>
          <w:lang w:val="bg-BG"/>
        </w:rPr>
        <w:t>Моля, попълнете всички задължителни полета. Полетата, отбелязани със (), са задължителни. Необходимо е да попълните и декларациите по раздел III от настоящия формуляр.*</w:t>
      </w: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Данни за автора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* </w:t>
      </w:r>
    </w:p>
    <w:tbl>
      <w:tblPr>
        <w:tblStyle w:val="TableGrid"/>
        <w:tblW w:w="8755" w:type="dxa"/>
        <w:tblLook w:val="04A0" w:firstRow="1" w:lastRow="0" w:firstColumn="1" w:lastColumn="0" w:noHBand="0" w:noVBand="1"/>
      </w:tblPr>
      <w:tblGrid>
        <w:gridCol w:w="4320"/>
        <w:gridCol w:w="4435"/>
      </w:tblGrid>
      <w:tr w:rsidR="000F5A92" w:rsidRPr="000339CD" w:rsidTr="0074776F">
        <w:trPr>
          <w:trHeight w:val="842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Име и фамилия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 xml:space="preserve"> / Наименование на организация: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0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Е</w:t>
            </w:r>
            <w:r w:rsidR="005835F4" w:rsidRPr="000339CD">
              <w:rPr>
                <w:rFonts w:ascii="SofiaSans" w:hAnsi="SofiaSans"/>
                <w:sz w:val="24"/>
                <w:szCs w:val="24"/>
                <w:lang w:val="bg-BG"/>
              </w:rPr>
              <w:t>ГН/ЕИК (само за идентификация):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5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Телефон: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62"/>
        </w:trPr>
        <w:tc>
          <w:tcPr>
            <w:tcW w:w="4320" w:type="dxa"/>
          </w:tcPr>
          <w:p w:rsidR="000F5A92" w:rsidRPr="000339CD" w:rsidRDefault="005835F4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E-</w:t>
            </w:r>
            <w:proofErr w:type="spellStart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mail</w:t>
            </w:r>
            <w:proofErr w:type="spellEnd"/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  <w:tr w:rsidR="000F5A92" w:rsidRPr="000339CD" w:rsidTr="0074776F">
        <w:trPr>
          <w:trHeight w:val="846"/>
        </w:trPr>
        <w:tc>
          <w:tcPr>
            <w:tcW w:w="4320" w:type="dxa"/>
          </w:tcPr>
          <w:p w:rsidR="000F5A92" w:rsidRPr="000339CD" w:rsidRDefault="00C675FF">
            <w:pPr>
              <w:rPr>
                <w:rFonts w:ascii="SofiaSans" w:hAnsi="SofiaSans"/>
                <w:sz w:val="24"/>
                <w:szCs w:val="24"/>
                <w:lang w:val="bg-BG"/>
              </w:rPr>
            </w:pPr>
            <w:r w:rsidRPr="000339CD">
              <w:rPr>
                <w:rFonts w:ascii="SofiaSans" w:hAnsi="SofiaSans"/>
                <w:sz w:val="24"/>
                <w:szCs w:val="24"/>
                <w:lang w:val="bg-BG"/>
              </w:rPr>
              <w:t>Адрес за кореспонденция:</w:t>
            </w:r>
          </w:p>
        </w:tc>
        <w:tc>
          <w:tcPr>
            <w:tcW w:w="4435" w:type="dxa"/>
          </w:tcPr>
          <w:p w:rsidR="000F5A92" w:rsidRPr="000339CD" w:rsidRDefault="000F5A92">
            <w:pPr>
              <w:rPr>
                <w:rFonts w:ascii="SofiaSans" w:hAnsi="SofiaSans"/>
                <w:sz w:val="24"/>
                <w:szCs w:val="24"/>
                <w:lang w:val="bg-BG"/>
              </w:rPr>
            </w:pPr>
          </w:p>
        </w:tc>
      </w:tr>
    </w:tbl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Описание на идеята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1. Наименование на идеята:*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Детска площадка на мястото на неизползваемата кучешка площадка зад бл. 602А/Б, ж.к. „Дружба“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4"/>
          <w:szCs w:val="24"/>
          <w:lang w:val="bg-BG"/>
        </w:rPr>
      </w:pPr>
    </w:p>
    <w:p w:rsidR="000F5A92" w:rsidRPr="000339CD" w:rsidRDefault="005A189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2</w:t>
      </w:r>
      <w:r w:rsidR="00C675FF" w:rsidRPr="000339CD">
        <w:rPr>
          <w:rFonts w:ascii="SofiaSans" w:hAnsi="SofiaSans"/>
          <w:sz w:val="24"/>
          <w:szCs w:val="24"/>
          <w:lang w:val="bg-BG"/>
        </w:rPr>
        <w:t xml:space="preserve">. </w:t>
      </w:r>
      <w:r w:rsidRPr="000339CD">
        <w:rPr>
          <w:rFonts w:ascii="SofiaSans" w:hAnsi="SofiaSans"/>
          <w:sz w:val="24"/>
          <w:szCs w:val="24"/>
          <w:lang w:val="bg-BG"/>
        </w:rPr>
        <w:t>О</w:t>
      </w:r>
      <w:r w:rsidR="00C675FF" w:rsidRPr="000339CD">
        <w:rPr>
          <w:rFonts w:ascii="SofiaSans" w:hAnsi="SofiaSans"/>
          <w:sz w:val="24"/>
          <w:szCs w:val="24"/>
          <w:lang w:val="bg-BG"/>
        </w:rPr>
        <w:t>писание</w:t>
      </w:r>
      <w:r w:rsidRPr="000339CD">
        <w:rPr>
          <w:rFonts w:ascii="SofiaSans" w:hAnsi="SofiaSans"/>
          <w:sz w:val="24"/>
          <w:szCs w:val="24"/>
          <w:lang w:val="bg-BG"/>
        </w:rPr>
        <w:t xml:space="preserve"> на идеята</w:t>
      </w:r>
      <w:r w:rsidR="00C675FF" w:rsidRPr="000339CD">
        <w:rPr>
          <w:rFonts w:ascii="SofiaSans" w:hAnsi="SofiaSans"/>
          <w:sz w:val="24"/>
          <w:szCs w:val="24"/>
          <w:lang w:val="bg-BG"/>
        </w:rPr>
        <w:t>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Предлагаме съществуващата кучешка площадка с чакълена настилка зад бл. 602А/Б („Авигея“) да бъде преустроена в обществено достъпна детска площадка за деца от 0 до 12 години.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Площадката включва: зона за деца до 3 години със сензорни игрови панели и маса за игра, клатушки и къщичка с ниска пързалка; комбинирано съоръжение за катерене с пързалка за деца от 3 до 12 години; двойна люлка с обикновена и бебешка седалка; балансиращи греди и тунел; игри, вградени в настилката (класики, „охлюв“ с числа, цветни кръгове, лабиринт); беседка с пейки за родителите. Цялата игрова площ (около 395 м²) е с ударопоглъщаща наливна гумена настилка в светли цветове. Съществуващата ограда се ремонтира и получава две самозатварящи се врати.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Сянката се осигурява от два усукани сенника от трудногоримо мрежесто платно (HDPE) на височина 4–5,5 м, общо около 180 м², над зоната за малки деца и над катерушката, и от беседка с покрив над пейките за родителите. Платната са по-големи от зоните под тях, за да пазят сянка през по-голямата част от деня. Те пропускат въздух и част от светлината и се свалят през зимата. Настилката е в светли цветове, за да се нагрява по-малко. Съоръженията са ниски, до около 3 м.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Собствениците на кучета могат да ползват другите площадки за кучета в района, например в парк „Дружба“ между ул. „Кап. Д. Списаревски“ и бул. „Цветан Лазаров“. При необходимост районът може да определи и друго място.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Интерактивна схема на разпределението, сенките през годината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lastRenderedPageBreak/>
        <w:t>4. Какъв обществен проблем решава идеята?*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новата част на ж.к. „Дружба“, около ул. „Кап. Димитър Списаревски“ и ул. „Обиколна“, през последните години се строят много нови многоетажни жилищни сгради, например бл. 602, 602А/Б, 609, 612, комплексите ONE11, „Атана“ и „Нова Дружба“ (Green Life). Строителството продължава („Атана 2“ със 153 жилища). При застрояването не са предвидени достатъчно зелени площи, а в тази част на квартала няма нито една детска площадка.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Само в двата най-близки блока, „Авигея“ (бл. 602А/Б) и „Давид и Авигея“ (бл. 602), до Kaufland „Дружба“, има 582 апартамента. Това са около 1 000–1 400 жители и около 150–200 деца до 14 години (изчисление по данни на НСИ за София). Заедно с другите нови сгради по ул. „Обиколна“ жилищата са над 1 100, а децата около 280–400.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Децата играят на асфалтираните паркинги между блоковете, сред движещи се и паркиращи автомобили. Това създава опасни ситуации и затруднява движението.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Най-близките детски площадки са на 640–760 м пеша (8–9 минути) от двата блока. Пътят минава през бул. „Проф. Цветан Лазаров“ или през ул. „Кап. Д. Списаревски“ и покрай топлопровода. Малките деца не могат да ходят сами дотам. До предлаганото място пътят е около 175 м (2 минути), по тротоара, без пресичане на улица.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В същото време кучешката площадка зад бл. 602А/Б почти не се използва. Чакълът през лятото се нагрява и пари на лапите на кучетата, мястото е изцяло открито и без сянка, а през зимата не се посещава.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5. Очаквани ползи и целеви групи:*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Целеви групи: децата от 0 до 12 години от всички нови жилищни сгради в тази част на ж.к. „Дружба“ и от съседните блокове, техните родители, баби и дядовци. Най-близо са 582-та апартамента в „Авигея“ и „Давид и Авигея“, а броят на семействата расте с всяка нова сграда.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Достъп: до мястото има тротоари, достъпна среда и изградена инфраструктура, удобни и за колички. От „Атана“ и „Нова Дружба“ пътят е 360–400 м (4–5 минути) през светофарите на кръстовището с ул. „Обиколна“, а „Атана 2“ и бл. 609 са на около 230 м отвъд булеварда. Наливната настилка позволява достъп и на деца с увреждания.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Ползи: първата детска площадка в тази част на квартала; безопасно място за игра извън паркингите; по-малко рискови ситуации с автомобили; място за среща на съседите; смислено използване на общински терен, който сега почти не се ползва; сянка и подходяща настилка, които правят площадката използваема и през лятото.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6. Местоположение:*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гр. София, район „Искър“, ж.к. „Дружба“, зад бл. 602А/Б („Авигея“), до ул. „Кап. Димитър Списаревски“. Поземлен имот с идентификатор 68134.1500.2678, кв. 502, парцел III, площ 671 м², общинска публична собственост, предназначение по ПУП „За озеленяване“. GPS: 42.657610, 23.397104.</w:t>
      </w:r>
    </w:p>
    <w:p w:rsidR="001E3CC5" w:rsidRPr="001E3CC5" w:rsidRDefault="001E3CC5" w:rsidP="001E3CC5">
      <w:pPr>
        <w:spacing w:before="0" w:after="0"/>
        <w:rPr>
          <w:rFonts w:ascii="SofiaSans" w:hAnsi="SofiaSans"/>
          <w:i/>
          <w:sz w:val="22"/>
          <w:szCs w:val="24"/>
          <w:lang w:val="bg-BG"/>
        </w:rPr>
      </w:pP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7. Предлагани основни дейности:*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Проектиране (паркоустройство и конструктивна част), геодезическо заснемане и необходимите съгласувания.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Демонтаж на съоръженията за кучета и на чакъла; изграждане на основа и бордюри.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Доставка и полагане на ударопоглъщаща гумена настилка.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4. Доставка и монтаж на съоръжения за игра: комбинирано съоръжение за катерене, двойна люлка, сензорни игрови панели, маса за игра, клатушки, къщичка с пързалка, балансиращи греди, тунел.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5. Доставка и монтаж на два усукани сенника от трудногоримо HDPE платно на стоманени колони (височина на платното 4–5,5 м), с конструктивен проект, и на беседка с покрив и пейки.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6. Ремонт на оградата, две самозатварящи се врати, пейки, кошчета и информационна табела по Наредба № 1 от 2009 г.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7. Нисък жив плет от храсти до 1,2 м към паркинга.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8. Оценка на съответствието, въвеждане в експлоатация и вписване в регистъра на площадките за игра; строителен надзор.</w:t>
      </w:r>
    </w:p>
    <w:p w:rsidR="000F5A92" w:rsidRPr="000339CD" w:rsidRDefault="005A189F" w:rsidP="00546D0A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 xml:space="preserve">8. </w:t>
      </w:r>
      <w:r w:rsidR="00546D0A" w:rsidRPr="00546D0A">
        <w:rPr>
          <w:rFonts w:ascii="SofiaSans" w:hAnsi="SofiaSans"/>
          <w:sz w:val="24"/>
          <w:szCs w:val="24"/>
          <w:lang w:val="bg-BG"/>
        </w:rPr>
        <w:t>Ориентировъчен бюджет с включен ДДС, когато е приложим</w:t>
      </w:r>
      <w:r w:rsidR="00546D0A">
        <w:rPr>
          <w:rFonts w:ascii="SofiaSans" w:hAnsi="SofiaSans"/>
          <w:sz w:val="24"/>
          <w:szCs w:val="24"/>
          <w:lang w:val="bg-BG"/>
        </w:rPr>
        <w:t>:</w:t>
      </w:r>
      <w:bookmarkStart w:id="0" w:name="_GoBack"/>
      <w:bookmarkEnd w:id="0"/>
      <w:r w:rsidRPr="000339CD">
        <w:rPr>
          <w:rFonts w:ascii="SofiaSans" w:hAnsi="SofiaSans"/>
          <w:sz w:val="24"/>
          <w:szCs w:val="24"/>
          <w:lang w:val="bg-BG"/>
        </w:rPr>
        <w:t>*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146 000 евро с ДДС (ориентировъчно). Разбивката по дейности и източниците на цените са в интерактивната схема, раздел „Ориентировъчен бюджет“.</w:t>
      </w:r>
    </w:p>
    <w:p w:rsidR="000F5A92" w:rsidRPr="000339CD" w:rsidRDefault="00C675FF">
      <w:pPr>
        <w:pStyle w:val="ListBullet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ofiaSans" w:hAnsi="SofiaSans"/>
          <w:sz w:val="24"/>
          <w:szCs w:val="24"/>
          <w:lang w:val="bg-BG"/>
        </w:rPr>
        <w:t>9. Приложени файлове: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1. Снимки на кучешката площадка в сегашния ѝ вид.</w:t>
      </w:r>
    </w:p>
    <w:p>
      <w:pPr>
        <w:spacing w:before="0" w:after="80"/>
        <w:jc w:val="both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2. Справка от КАИС за ПИ 68134.1500.2678.</w:t>
      </w:r>
    </w:p>
    <w:p>
      <w:pPr>
        <w:spacing w:before="0" w:after="80"/>
        <w:jc w:val="left"/>
        <w:rPr>
          <w:rFonts w:ascii="SofiaSans" w:hAnsi="SofiaSans"/>
          <w:sz w:val="22"/>
          <w:szCs w:val="22"/>
          <w:lang w:val="bg-BG"/>
        </w:rPr>
      </w:pPr>
      <w:r>
        <w:rPr>
          <w:rFonts w:ascii="SofiaSans" w:hAnsi="SofiaSans"/>
          <w:sz w:val="22"/>
          <w:szCs w:val="22"/>
          <w:lang w:val="bg-BG"/>
        </w:rPr>
        <w:t xml:space="preserve">3. Схема на разпределението, сенките и бюджета: https://vinbg.github.io/children-playground/</w:t>
      </w:r>
    </w:p>
    <w:p w:rsidR="001E3CC5" w:rsidRPr="000339CD" w:rsidRDefault="001E3CC5" w:rsidP="001E3CC5">
      <w:pPr>
        <w:spacing w:before="0" w:after="0"/>
        <w:rPr>
          <w:rFonts w:ascii="SofiaSans" w:hAnsi="SofiaSans"/>
          <w:sz w:val="22"/>
          <w:szCs w:val="24"/>
          <w:lang w:val="bg-BG"/>
        </w:rPr>
      </w:pPr>
    </w:p>
    <w:p w:rsidR="000F5A92" w:rsidRPr="00AE41A8" w:rsidRDefault="008C4DF5">
      <w:pPr>
        <w:pStyle w:val="Heading2"/>
        <w:rPr>
          <w:rFonts w:ascii="SofiaSans Bold" w:hAnsi="SofiaSans Bold"/>
          <w:sz w:val="24"/>
          <w:szCs w:val="24"/>
          <w:lang w:val="bg-BG"/>
        </w:rPr>
      </w:pPr>
      <w:r w:rsidRPr="00AE41A8">
        <w:rPr>
          <w:rFonts w:ascii="SofiaSans Bold" w:hAnsi="SofiaSans Bold"/>
          <w:sz w:val="24"/>
          <w:szCs w:val="24"/>
          <w:lang w:val="bg-BG"/>
        </w:rPr>
        <w:t>I</w:t>
      </w:r>
      <w:r w:rsidRPr="00AE41A8">
        <w:rPr>
          <w:rFonts w:ascii="SofiaSans Bold" w:hAnsi="SofiaSans Bold"/>
          <w:sz w:val="24"/>
          <w:szCs w:val="24"/>
          <w:lang w:val="en-GB"/>
        </w:rPr>
        <w:t>II</w:t>
      </w:r>
      <w:r w:rsidR="00C675FF" w:rsidRPr="00AE41A8">
        <w:rPr>
          <w:rFonts w:ascii="SofiaSans Bold" w:hAnsi="SofiaSans Bold"/>
          <w:sz w:val="24"/>
          <w:szCs w:val="24"/>
          <w:lang w:val="bg-BG"/>
        </w:rPr>
        <w:t>. Декларации</w:t>
      </w:r>
      <w:r w:rsidR="005835F4" w:rsidRPr="00AE41A8">
        <w:rPr>
          <w:rFonts w:ascii="SofiaSans Bold" w:hAnsi="SofiaSans Bold"/>
          <w:sz w:val="24"/>
          <w:szCs w:val="24"/>
          <w:lang w:val="bg-BG"/>
        </w:rPr>
        <w:t xml:space="preserve"> *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Декларирам, че идеята е разработена от мен/нас или разполагам/разполагаме с необходимите права за нейното подаване.</w:t>
      </w:r>
    </w:p>
    <w:p w:rsidR="005835F4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lastRenderedPageBreak/>
        <w:t>☐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С подаването на идеята се съгласявам тя и приложените към нея материали да бъдат използвани, публикувани, популяризирани и при необходимост адаптирани за целите на инициативата „Идеи за града“ и за реализирането на </w:t>
      </w:r>
      <w:r w:rsidR="005510BA" w:rsidRPr="000339CD">
        <w:rPr>
          <w:rFonts w:ascii="SofiaSans" w:hAnsi="SofiaSans"/>
          <w:sz w:val="24"/>
          <w:szCs w:val="24"/>
          <w:lang w:val="bg-BG"/>
        </w:rPr>
        <w:t>идеята</w:t>
      </w:r>
      <w:r w:rsidR="005835F4" w:rsidRPr="000339CD">
        <w:rPr>
          <w:rFonts w:ascii="SofiaSans" w:hAnsi="SofiaSans"/>
          <w:sz w:val="24"/>
          <w:szCs w:val="24"/>
          <w:lang w:val="bg-BG"/>
        </w:rPr>
        <w:t xml:space="preserve"> от Столична община и/или съответната районна администрация, като няма да предявявам претенции, свързани с авторски или сродни права във връзка с това използване и реализиране.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Запознат/а съм, че с подаването на идеята не придобивам право лично да изпълнявам дейностите по нея, ако тя бъде избрана за финансиране.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съм, че изпълнението на избраните идеи се организира и осъществява от </w:t>
      </w:r>
      <w:r w:rsidR="005510BA" w:rsidRPr="000339CD">
        <w:rPr>
          <w:rFonts w:ascii="SofiaSans" w:hAnsi="SofiaSans"/>
          <w:sz w:val="24"/>
          <w:szCs w:val="24"/>
          <w:lang w:val="bg-BG"/>
        </w:rPr>
        <w:t>съответните общински структури</w:t>
      </w:r>
      <w:r w:rsidRPr="000339CD">
        <w:rPr>
          <w:rFonts w:ascii="SofiaSans" w:hAnsi="SofiaSans"/>
          <w:sz w:val="24"/>
          <w:szCs w:val="24"/>
          <w:lang w:val="bg-BG"/>
        </w:rPr>
        <w:t xml:space="preserve"> съгласно действащото законодателство.</w:t>
      </w:r>
    </w:p>
    <w:p w:rsidR="000F5A92" w:rsidRPr="000339CD" w:rsidRDefault="00C675FF" w:rsidP="005835F4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>Не се намирам в обстоятелства, които биха довели до конфликт на интереси във връзка с участието ми в инициативата.</w:t>
      </w:r>
    </w:p>
    <w:p w:rsidR="000F5A92" w:rsidRPr="000339CD" w:rsidRDefault="00C675FF" w:rsidP="00D87BC1">
      <w:pPr>
        <w:jc w:val="both"/>
        <w:rPr>
          <w:rFonts w:ascii="SofiaSans" w:hAnsi="SofiaSans"/>
          <w:sz w:val="24"/>
          <w:szCs w:val="24"/>
          <w:lang w:val="bg-BG"/>
        </w:rPr>
      </w:pPr>
      <w:r w:rsidRPr="000339CD">
        <w:rPr>
          <w:rFonts w:ascii="Segoe UI Symbol" w:hAnsi="Segoe UI Symbol" w:cs="Segoe UI Symbol"/>
          <w:sz w:val="24"/>
          <w:szCs w:val="24"/>
          <w:lang w:val="bg-BG"/>
        </w:rPr>
        <w:t>☐</w:t>
      </w:r>
      <w:r w:rsidRPr="000339CD">
        <w:rPr>
          <w:rFonts w:ascii="SofiaSans" w:hAnsi="SofiaSans"/>
          <w:sz w:val="24"/>
          <w:szCs w:val="24"/>
          <w:lang w:val="bg-BG"/>
        </w:rPr>
        <w:t xml:space="preserve">Запознат/а съм с 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Методологията за организацията и изпълнението на </w:t>
      </w:r>
      <w:r w:rsidR="008F4A61">
        <w:rPr>
          <w:rFonts w:ascii="SofiaSans" w:hAnsi="SofiaSans"/>
          <w:sz w:val="24"/>
          <w:szCs w:val="24"/>
          <w:lang w:val="bg-BG"/>
        </w:rPr>
        <w:t>програма „Г</w:t>
      </w:r>
      <w:r w:rsidR="00D87BC1" w:rsidRPr="000339CD">
        <w:rPr>
          <w:rFonts w:ascii="SofiaSans" w:hAnsi="SofiaSans"/>
          <w:sz w:val="24"/>
          <w:szCs w:val="24"/>
          <w:lang w:val="bg-BG"/>
        </w:rPr>
        <w:t>раждански бюджет</w:t>
      </w:r>
      <w:r w:rsidR="008F4A61">
        <w:rPr>
          <w:rFonts w:ascii="SofiaSans" w:hAnsi="SofiaSans"/>
          <w:sz w:val="24"/>
          <w:szCs w:val="24"/>
          <w:lang w:val="bg-BG"/>
        </w:rPr>
        <w:t>“</w:t>
      </w:r>
      <w:r w:rsidR="00D87BC1" w:rsidRPr="000339CD">
        <w:rPr>
          <w:rFonts w:ascii="SofiaSans" w:hAnsi="SofiaSans"/>
          <w:sz w:val="24"/>
          <w:szCs w:val="24"/>
          <w:lang w:val="bg-BG"/>
        </w:rPr>
        <w:t xml:space="preserve"> на Столична община </w:t>
      </w:r>
      <w:r w:rsidRPr="000339CD">
        <w:rPr>
          <w:rFonts w:ascii="SofiaSans" w:hAnsi="SofiaSans"/>
          <w:sz w:val="24"/>
          <w:szCs w:val="24"/>
          <w:lang w:val="bg-BG"/>
        </w:rPr>
        <w:t>и приемам условията за участие.</w:t>
      </w:r>
    </w:p>
    <w:p w:rsidR="00522589" w:rsidRPr="000339CD" w:rsidRDefault="00522589" w:rsidP="00D87BC1">
      <w:pPr>
        <w:jc w:val="both"/>
        <w:rPr>
          <w:rFonts w:ascii="SofiaSans" w:hAnsi="SofiaSans"/>
          <w:sz w:val="24"/>
          <w:szCs w:val="24"/>
          <w:lang w:val="bg-BG"/>
        </w:rPr>
      </w:pPr>
    </w:p>
    <w:p w:rsidR="0098607B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Благодарим Ви, че отделихте време да споделите своята идея!</w:t>
      </w:r>
    </w:p>
    <w:p w:rsidR="00522589" w:rsidRPr="000339CD" w:rsidRDefault="00522589" w:rsidP="00522589">
      <w:pPr>
        <w:rPr>
          <w:rFonts w:ascii="SofiaSans" w:hAnsi="SofiaSans"/>
          <w:lang w:val="bg-BG"/>
        </w:rPr>
      </w:pPr>
    </w:p>
    <w:p w:rsidR="00522589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 xml:space="preserve">Всяка идея има значение. </w:t>
      </w:r>
    </w:p>
    <w:p w:rsidR="00C675FF" w:rsidRPr="00AE41A8" w:rsidRDefault="0098607B" w:rsidP="0098607B">
      <w:pPr>
        <w:pStyle w:val="Heading2"/>
        <w:jc w:val="center"/>
        <w:rPr>
          <w:rFonts w:ascii="SofiaSans Bold" w:hAnsi="SofiaSans Bold"/>
          <w:sz w:val="24"/>
          <w:lang w:val="bg-BG"/>
        </w:rPr>
      </w:pPr>
      <w:r w:rsidRPr="00AE41A8">
        <w:rPr>
          <w:rFonts w:ascii="SofiaSans Bold" w:hAnsi="SofiaSans Bold"/>
          <w:sz w:val="24"/>
          <w:lang w:val="bg-BG"/>
        </w:rPr>
        <w:t>С Вашето участие заедно правим София по-добро място за живот.</w:t>
      </w:r>
    </w:p>
    <w:sectPr w:rsidR="00C675FF" w:rsidRPr="00AE41A8" w:rsidSect="00E62253">
      <w:pgSz w:w="12240" w:h="15840"/>
      <w:pgMar w:top="567" w:right="1892" w:bottom="709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ofiaSans Bold">
    <w:panose1 w:val="00000800000000000000"/>
    <w:charset w:val="CC"/>
    <w:family w:val="auto"/>
    <w:pitch w:val="variable"/>
    <w:sig w:usb0="00000287" w:usb1="00000001" w:usb2="00000000" w:usb3="00000000" w:csb0="0000009F" w:csb1="00000000"/>
  </w:font>
  <w:font w:name="SofiaSans">
    <w:panose1 w:val="00000500000000000000"/>
    <w:charset w:val="CC"/>
    <w:family w:val="auto"/>
    <w:pitch w:val="variable"/>
    <w:sig w:usb0="00000287" w:usb1="00000001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1231"/>
    <w:rsid w:val="000339CD"/>
    <w:rsid w:val="00034616"/>
    <w:rsid w:val="000501CD"/>
    <w:rsid w:val="0006063C"/>
    <w:rsid w:val="00084A9D"/>
    <w:rsid w:val="000F5A92"/>
    <w:rsid w:val="0015074B"/>
    <w:rsid w:val="001E3CC5"/>
    <w:rsid w:val="0029639D"/>
    <w:rsid w:val="0031664D"/>
    <w:rsid w:val="00326F90"/>
    <w:rsid w:val="00371A3D"/>
    <w:rsid w:val="004859E9"/>
    <w:rsid w:val="004B0D5E"/>
    <w:rsid w:val="004B1C8A"/>
    <w:rsid w:val="00507F85"/>
    <w:rsid w:val="00522589"/>
    <w:rsid w:val="00546D0A"/>
    <w:rsid w:val="005510BA"/>
    <w:rsid w:val="005835F4"/>
    <w:rsid w:val="005A189F"/>
    <w:rsid w:val="005F3DB8"/>
    <w:rsid w:val="0074776F"/>
    <w:rsid w:val="007D7687"/>
    <w:rsid w:val="008C4DF5"/>
    <w:rsid w:val="008D6E92"/>
    <w:rsid w:val="008F4A61"/>
    <w:rsid w:val="0098607B"/>
    <w:rsid w:val="009A7DE3"/>
    <w:rsid w:val="00A65CD4"/>
    <w:rsid w:val="00AA1D8D"/>
    <w:rsid w:val="00AE41A8"/>
    <w:rsid w:val="00B27D78"/>
    <w:rsid w:val="00B43B9B"/>
    <w:rsid w:val="00B47730"/>
    <w:rsid w:val="00C675FF"/>
    <w:rsid w:val="00CB0664"/>
    <w:rsid w:val="00CC6C47"/>
    <w:rsid w:val="00D87BC1"/>
    <w:rsid w:val="00E4505A"/>
    <w:rsid w:val="00E62253"/>
    <w:rsid w:val="00EA17E2"/>
    <w:rsid w:val="00FC693F"/>
    <w:rsid w:val="00FE5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1C830C"/>
  <w14:defaultImageDpi w14:val="300"/>
  <w15:docId w15:val="{58D9B860-C699-41F4-9E47-3B9AF6979E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501CD"/>
  </w:style>
  <w:style w:type="paragraph" w:styleId="Heading1">
    <w:name w:val="heading 1"/>
    <w:basedOn w:val="Normal"/>
    <w:next w:val="Normal"/>
    <w:link w:val="Heading1Char"/>
    <w:uiPriority w:val="9"/>
    <w:qFormat/>
    <w:rsid w:val="000501CD"/>
    <w:pPr>
      <w:pBdr>
        <w:top w:val="single" w:sz="24" w:space="0" w:color="4F81BD" w:themeColor="accent1"/>
        <w:left w:val="single" w:sz="24" w:space="0" w:color="4F81BD" w:themeColor="accent1"/>
        <w:bottom w:val="single" w:sz="24" w:space="0" w:color="4F81BD" w:themeColor="accent1"/>
        <w:right w:val="single" w:sz="24" w:space="0" w:color="4F81BD" w:themeColor="accent1"/>
      </w:pBdr>
      <w:shd w:val="clear" w:color="auto" w:fill="4F81BD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501CD"/>
    <w:pPr>
      <w:pBdr>
        <w:top w:val="single" w:sz="24" w:space="0" w:color="DBE5F1" w:themeColor="accent1" w:themeTint="33"/>
        <w:left w:val="single" w:sz="24" w:space="0" w:color="DBE5F1" w:themeColor="accent1" w:themeTint="33"/>
        <w:bottom w:val="single" w:sz="24" w:space="0" w:color="DBE5F1" w:themeColor="accent1" w:themeTint="33"/>
        <w:right w:val="single" w:sz="24" w:space="0" w:color="DBE5F1" w:themeColor="accent1" w:themeTint="33"/>
      </w:pBdr>
      <w:shd w:val="clear" w:color="auto" w:fill="DBE5F1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501CD"/>
    <w:pPr>
      <w:pBdr>
        <w:top w:val="single" w:sz="6" w:space="2" w:color="4F81BD" w:themeColor="accent1"/>
      </w:pBdr>
      <w:spacing w:before="300" w:after="0"/>
      <w:outlineLvl w:val="2"/>
    </w:pPr>
    <w:rPr>
      <w:caps/>
      <w:color w:val="243F6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01CD"/>
    <w:pPr>
      <w:pBdr>
        <w:top w:val="dotted" w:sz="6" w:space="2" w:color="4F81BD" w:themeColor="accent1"/>
      </w:pBdr>
      <w:spacing w:before="200" w:after="0"/>
      <w:outlineLvl w:val="3"/>
    </w:pPr>
    <w:rPr>
      <w:caps/>
      <w:color w:val="365F9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01CD"/>
    <w:pPr>
      <w:pBdr>
        <w:bottom w:val="single" w:sz="6" w:space="1" w:color="4F81BD" w:themeColor="accent1"/>
      </w:pBdr>
      <w:spacing w:before="200" w:after="0"/>
      <w:outlineLvl w:val="4"/>
    </w:pPr>
    <w:rPr>
      <w:caps/>
      <w:color w:val="365F9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01CD"/>
    <w:pPr>
      <w:pBdr>
        <w:bottom w:val="dotted" w:sz="6" w:space="1" w:color="4F81BD" w:themeColor="accent1"/>
      </w:pBdr>
      <w:spacing w:before="200" w:after="0"/>
      <w:outlineLvl w:val="5"/>
    </w:pPr>
    <w:rPr>
      <w:caps/>
      <w:color w:val="365F9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01CD"/>
    <w:pPr>
      <w:spacing w:before="200" w:after="0"/>
      <w:outlineLvl w:val="6"/>
    </w:pPr>
    <w:rPr>
      <w:caps/>
      <w:color w:val="365F9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01C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01C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0501CD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0501CD"/>
    <w:rPr>
      <w:caps/>
      <w:color w:val="FFFFFF" w:themeColor="background1"/>
      <w:spacing w:val="15"/>
      <w:sz w:val="22"/>
      <w:szCs w:val="22"/>
      <w:shd w:val="clear" w:color="auto" w:fill="4F81BD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0501CD"/>
    <w:rPr>
      <w:caps/>
      <w:spacing w:val="15"/>
      <w:shd w:val="clear" w:color="auto" w:fill="DBE5F1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0501CD"/>
    <w:rPr>
      <w:caps/>
      <w:color w:val="243F60" w:themeColor="accent1" w:themeShade="7F"/>
      <w:spacing w:val="15"/>
    </w:rPr>
  </w:style>
  <w:style w:type="paragraph" w:styleId="Title">
    <w:name w:val="Title"/>
    <w:basedOn w:val="Normal"/>
    <w:next w:val="Normal"/>
    <w:link w:val="TitleChar"/>
    <w:uiPriority w:val="10"/>
    <w:qFormat/>
    <w:rsid w:val="000501CD"/>
    <w:pPr>
      <w:spacing w:before="0" w:after="0"/>
    </w:pPr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0501CD"/>
    <w:rPr>
      <w:rFonts w:asciiTheme="majorHAnsi" w:eastAsiaTheme="majorEastAsia" w:hAnsiTheme="majorHAnsi" w:cstheme="majorBidi"/>
      <w:caps/>
      <w:color w:val="4F81BD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01C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0501CD"/>
    <w:rPr>
      <w:caps/>
      <w:color w:val="595959" w:themeColor="text1" w:themeTint="A6"/>
      <w:spacing w:val="10"/>
      <w:sz w:val="21"/>
      <w:szCs w:val="21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0501CD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0501CD"/>
    <w:rPr>
      <w:i/>
      <w:iCs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01CD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01CD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01CD"/>
    <w:rPr>
      <w:i/>
      <w:iCs/>
      <w:caps/>
      <w:spacing w:val="10"/>
      <w:sz w:val="18"/>
      <w:szCs w:val="18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0501CD"/>
    <w:rPr>
      <w:b/>
      <w:bCs/>
      <w:color w:val="365F91" w:themeColor="accent1" w:themeShade="BF"/>
      <w:sz w:val="16"/>
      <w:szCs w:val="16"/>
    </w:rPr>
  </w:style>
  <w:style w:type="character" w:styleId="Strong">
    <w:name w:val="Strong"/>
    <w:uiPriority w:val="22"/>
    <w:qFormat/>
    <w:rsid w:val="000501CD"/>
    <w:rPr>
      <w:b/>
      <w:bCs/>
    </w:rPr>
  </w:style>
  <w:style w:type="character" w:styleId="Emphasis">
    <w:name w:val="Emphasis"/>
    <w:uiPriority w:val="20"/>
    <w:qFormat/>
    <w:rsid w:val="000501CD"/>
    <w:rPr>
      <w:caps/>
      <w:color w:val="243F60" w:themeColor="accent1" w:themeShade="7F"/>
      <w:spacing w:val="5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01CD"/>
    <w:pPr>
      <w:spacing w:before="240" w:after="240" w:line="240" w:lineRule="auto"/>
      <w:ind w:left="1080" w:right="1080"/>
      <w:jc w:val="center"/>
    </w:pPr>
    <w:rPr>
      <w:color w:val="4F81BD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01CD"/>
    <w:rPr>
      <w:color w:val="4F81BD" w:themeColor="accent1"/>
      <w:sz w:val="24"/>
      <w:szCs w:val="24"/>
    </w:rPr>
  </w:style>
  <w:style w:type="character" w:styleId="SubtleEmphasis">
    <w:name w:val="Subtle Emphasis"/>
    <w:uiPriority w:val="19"/>
    <w:qFormat/>
    <w:rsid w:val="000501CD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0501CD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0501CD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0501CD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0501CD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0501CD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E115EE-AA62-46DC-9C55-C047CA6CFE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3</Pages>
  <Words>574</Words>
  <Characters>3278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Нилюфер Емурлова-Мюмюн</cp:lastModifiedBy>
  <cp:revision>32</cp:revision>
  <dcterms:created xsi:type="dcterms:W3CDTF">2013-12-23T23:15:00Z</dcterms:created>
  <dcterms:modified xsi:type="dcterms:W3CDTF">2026-09-14T07:09:00Z</dcterms:modified>
  <cp:category/>
</cp:coreProperties>
</file>