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6EEC" w:rsidRPr="00A47BC6" w:rsidRDefault="00DB5754">
      <w:pPr>
        <w:spacing w:before="240" w:after="240"/>
        <w:jc w:val="center"/>
        <w:rPr>
          <w:lang w:val="fr-FR"/>
        </w:rPr>
      </w:pPr>
      <w:r w:rsidRPr="00A47BC6">
        <w:rPr>
          <w:lang w:val="fr-FR"/>
        </w:rPr>
        <w:t>DÉPARTEMENT DE GÉOMATIQUE APPLIQUÉE</w:t>
      </w:r>
    </w:p>
    <w:p w:rsidR="00F26EEC" w:rsidRPr="00A47BC6" w:rsidRDefault="00DB5754">
      <w:pPr>
        <w:spacing w:after="120"/>
        <w:jc w:val="center"/>
        <w:rPr>
          <w:lang w:val="fr-FR"/>
        </w:rPr>
      </w:pPr>
      <w:r w:rsidRPr="00A47BC6">
        <w:rPr>
          <w:lang w:val="fr-FR"/>
        </w:rPr>
        <w:t>Faculté des lettres et sciences humaines</w:t>
      </w:r>
    </w:p>
    <w:p w:rsidR="00F26EEC" w:rsidRPr="00A47BC6" w:rsidRDefault="00DB5754">
      <w:pPr>
        <w:spacing w:after="120"/>
        <w:jc w:val="center"/>
        <w:rPr>
          <w:lang w:val="fr-FR"/>
        </w:rPr>
      </w:pPr>
      <w:r w:rsidRPr="00A47BC6">
        <w:rPr>
          <w:lang w:val="fr-FR"/>
        </w:rPr>
        <w:t>Université de Sherbrooke</w:t>
      </w:r>
    </w:p>
    <w:p w:rsidR="00F26EEC" w:rsidRPr="00A47BC6" w:rsidRDefault="00F26EEC">
      <w:pPr>
        <w:spacing w:after="120"/>
        <w:rPr>
          <w:lang w:val="fr-FR"/>
        </w:rPr>
      </w:pPr>
    </w:p>
    <w:p w:rsidR="00F26EEC" w:rsidRPr="00A47BC6" w:rsidRDefault="00DB5754">
      <w:pPr>
        <w:spacing w:after="120"/>
        <w:jc w:val="center"/>
        <w:rPr>
          <w:sz w:val="28"/>
          <w:szCs w:val="28"/>
          <w:lang w:val="fr-FR"/>
        </w:rPr>
      </w:pPr>
      <w:r w:rsidRPr="00A47BC6">
        <w:rPr>
          <w:sz w:val="28"/>
          <w:szCs w:val="28"/>
          <w:lang w:val="fr-FR"/>
        </w:rPr>
        <w:t>PROPOSITION DE RECHERCHE</w:t>
      </w:r>
    </w:p>
    <w:p w:rsidR="00F26EEC" w:rsidRPr="00A47BC6" w:rsidRDefault="00F26EEC">
      <w:pPr>
        <w:spacing w:after="120"/>
        <w:jc w:val="center"/>
        <w:rPr>
          <w:sz w:val="28"/>
          <w:szCs w:val="28"/>
          <w:lang w:val="fr-FR"/>
        </w:rPr>
      </w:pPr>
    </w:p>
    <w:p w:rsidR="00F26EEC" w:rsidRPr="00A47BC6" w:rsidRDefault="00DB5754">
      <w:pPr>
        <w:spacing w:after="120"/>
        <w:jc w:val="center"/>
        <w:rPr>
          <w:sz w:val="32"/>
          <w:szCs w:val="32"/>
          <w:lang w:val="fr-FR"/>
        </w:rPr>
      </w:pPr>
      <w:r w:rsidRPr="00A47BC6">
        <w:rPr>
          <w:sz w:val="32"/>
          <w:szCs w:val="32"/>
          <w:lang w:val="fr-FR"/>
        </w:rPr>
        <w:t>ÉTUDE DE L’ÉVOLUTION DE L’HUMIDITÉ DU SOL AGRICOLE AU CANADA ENTRE LA PÉRIODE 1978 ET 2019</w:t>
      </w:r>
    </w:p>
    <w:p w:rsidR="00F26EEC" w:rsidRPr="00A47BC6" w:rsidRDefault="00F26EEC">
      <w:pPr>
        <w:spacing w:after="120"/>
        <w:jc w:val="center"/>
        <w:rPr>
          <w:lang w:val="fr-FR"/>
        </w:rPr>
      </w:pPr>
    </w:p>
    <w:p w:rsidR="00F26EEC" w:rsidRPr="00A47BC6" w:rsidRDefault="00DB5754">
      <w:pPr>
        <w:spacing w:after="120"/>
        <w:jc w:val="center"/>
        <w:rPr>
          <w:lang w:val="fr-FR"/>
        </w:rPr>
      </w:pPr>
      <w:bookmarkStart w:id="0" w:name="_GoBack"/>
      <w:r w:rsidRPr="00A47BC6">
        <w:rPr>
          <w:lang w:val="fr-FR"/>
        </w:rPr>
        <w:t xml:space="preserve">VINCENT LE FALHER </w:t>
      </w:r>
    </w:p>
    <w:p w:rsidR="00F26EEC" w:rsidRPr="00A47BC6" w:rsidRDefault="00DB5754">
      <w:pPr>
        <w:spacing w:after="120"/>
        <w:jc w:val="center"/>
        <w:rPr>
          <w:lang w:val="fr-FR"/>
        </w:rPr>
      </w:pPr>
      <w:r w:rsidRPr="00A47BC6">
        <w:rPr>
          <w:lang w:val="fr-FR"/>
        </w:rPr>
        <w:t>LEFV2603</w:t>
      </w:r>
      <w:bookmarkEnd w:id="0"/>
    </w:p>
    <w:p w:rsidR="00F26EEC" w:rsidRPr="00A47BC6" w:rsidRDefault="00F26EEC">
      <w:pPr>
        <w:spacing w:after="120"/>
        <w:rPr>
          <w:lang w:val="fr-FR"/>
        </w:rPr>
      </w:pPr>
    </w:p>
    <w:p w:rsidR="00F26EEC" w:rsidRPr="00A47BC6" w:rsidRDefault="00F26EEC">
      <w:pPr>
        <w:spacing w:after="120"/>
        <w:jc w:val="center"/>
        <w:rPr>
          <w:lang w:val="fr-FR"/>
        </w:rPr>
      </w:pPr>
    </w:p>
    <w:p w:rsidR="00F26EEC" w:rsidRPr="00A47BC6" w:rsidRDefault="00DB5754">
      <w:pPr>
        <w:spacing w:after="120"/>
        <w:jc w:val="center"/>
        <w:rPr>
          <w:lang w:val="fr-FR"/>
        </w:rPr>
      </w:pPr>
      <w:r w:rsidRPr="00A47BC6">
        <w:rPr>
          <w:lang w:val="fr-FR"/>
        </w:rPr>
        <w:t>Dans le cadre du cours</w:t>
      </w:r>
    </w:p>
    <w:p w:rsidR="00F26EEC" w:rsidRPr="00A47BC6" w:rsidRDefault="00DB5754">
      <w:pPr>
        <w:spacing w:after="120"/>
        <w:jc w:val="center"/>
        <w:rPr>
          <w:lang w:val="fr-FR"/>
        </w:rPr>
      </w:pPr>
      <w:r w:rsidRPr="00A47BC6">
        <w:rPr>
          <w:lang w:val="fr-FR"/>
        </w:rPr>
        <w:t>GAE710</w:t>
      </w:r>
    </w:p>
    <w:p w:rsidR="00F26EEC" w:rsidRPr="00A47BC6" w:rsidRDefault="00DB5754">
      <w:pPr>
        <w:spacing w:after="120"/>
        <w:jc w:val="center"/>
        <w:rPr>
          <w:lang w:val="fr-FR"/>
        </w:rPr>
      </w:pPr>
      <w:r w:rsidRPr="00A47BC6">
        <w:rPr>
          <w:lang w:val="fr-FR"/>
        </w:rPr>
        <w:t>Application avancée de la télédétection en environnement</w:t>
      </w:r>
    </w:p>
    <w:p w:rsidR="00F26EEC" w:rsidRPr="00A47BC6" w:rsidRDefault="00DB5754">
      <w:pPr>
        <w:spacing w:after="120"/>
        <w:jc w:val="center"/>
        <w:rPr>
          <w:lang w:val="fr-FR"/>
        </w:rPr>
      </w:pPr>
      <w:r w:rsidRPr="00A47BC6">
        <w:rPr>
          <w:lang w:val="fr-FR"/>
        </w:rPr>
        <w:t>Hiver 2021</w:t>
      </w:r>
    </w:p>
    <w:p w:rsidR="00F26EEC" w:rsidRPr="00A47BC6" w:rsidRDefault="00F26EEC">
      <w:pPr>
        <w:spacing w:after="120"/>
        <w:jc w:val="center"/>
        <w:rPr>
          <w:lang w:val="fr-FR"/>
        </w:rPr>
      </w:pPr>
    </w:p>
    <w:p w:rsidR="00F26EEC" w:rsidRPr="00A47BC6" w:rsidRDefault="00F26EEC">
      <w:pPr>
        <w:spacing w:after="120"/>
        <w:jc w:val="center"/>
        <w:rPr>
          <w:lang w:val="fr-FR"/>
        </w:rPr>
      </w:pPr>
    </w:p>
    <w:p w:rsidR="00F26EEC" w:rsidRPr="00A47BC6" w:rsidRDefault="00F26EEC">
      <w:pPr>
        <w:spacing w:after="120"/>
        <w:jc w:val="center"/>
        <w:rPr>
          <w:lang w:val="fr-FR"/>
        </w:rPr>
      </w:pPr>
    </w:p>
    <w:p w:rsidR="00F26EEC" w:rsidRPr="00A47BC6" w:rsidRDefault="00F26EEC">
      <w:pPr>
        <w:spacing w:after="120"/>
        <w:jc w:val="center"/>
        <w:rPr>
          <w:lang w:val="fr-FR"/>
        </w:rPr>
      </w:pPr>
    </w:p>
    <w:p w:rsidR="00F26EEC" w:rsidRPr="00A47BC6" w:rsidRDefault="00F26EEC">
      <w:pPr>
        <w:spacing w:after="120"/>
        <w:jc w:val="center"/>
        <w:rPr>
          <w:lang w:val="fr-FR"/>
        </w:rPr>
      </w:pPr>
    </w:p>
    <w:p w:rsidR="00F26EEC" w:rsidRPr="00A47BC6" w:rsidRDefault="00DB5754">
      <w:pPr>
        <w:spacing w:after="120"/>
        <w:jc w:val="center"/>
        <w:rPr>
          <w:lang w:val="fr-FR"/>
        </w:rPr>
      </w:pPr>
      <w:r w:rsidRPr="00A47BC6">
        <w:rPr>
          <w:lang w:val="fr-FR"/>
        </w:rPr>
        <w:t>Longueuil</w:t>
      </w:r>
    </w:p>
    <w:p w:rsidR="00F26EEC" w:rsidRPr="00A47BC6" w:rsidRDefault="00DB5754">
      <w:pPr>
        <w:spacing w:after="120"/>
        <w:jc w:val="center"/>
        <w:rPr>
          <w:lang w:val="fr-FR"/>
        </w:rPr>
      </w:pPr>
      <w:r w:rsidRPr="00A47BC6">
        <w:rPr>
          <w:lang w:val="fr-FR"/>
        </w:rPr>
        <w:t>25 Février 2021</w:t>
      </w:r>
    </w:p>
    <w:p w:rsidR="00F26EEC" w:rsidRPr="00A47BC6" w:rsidRDefault="00DB5754">
      <w:pPr>
        <w:rPr>
          <w:sz w:val="40"/>
          <w:szCs w:val="40"/>
          <w:lang w:val="fr-FR"/>
        </w:rPr>
      </w:pPr>
      <w:r w:rsidRPr="00A47BC6">
        <w:rPr>
          <w:sz w:val="40"/>
          <w:szCs w:val="40"/>
          <w:lang w:val="fr-FR"/>
        </w:rPr>
        <w:lastRenderedPageBreak/>
        <w:t>Table des matières</w:t>
      </w:r>
    </w:p>
    <w:p w:rsidR="00F26EEC" w:rsidRPr="00A47BC6" w:rsidRDefault="00F26EEC">
      <w:pPr>
        <w:spacing w:after="120"/>
        <w:rPr>
          <w:u w:val="single"/>
          <w:lang w:val="fr-FR"/>
        </w:rPr>
      </w:pPr>
    </w:p>
    <w:sdt>
      <w:sdtPr>
        <w:id w:val="948433932"/>
        <w:docPartObj>
          <w:docPartGallery w:val="Table of Contents"/>
          <w:docPartUnique/>
        </w:docPartObj>
      </w:sdtPr>
      <w:sdtEndPr/>
      <w:sdtContent>
        <w:p w:rsidR="00A47BC6" w:rsidRDefault="00DB5754">
          <w:pPr>
            <w:pStyle w:val="TOC1"/>
            <w:tabs>
              <w:tab w:val="right" w:pos="9350"/>
            </w:tabs>
            <w:rPr>
              <w:noProof/>
            </w:rPr>
          </w:pPr>
          <w:r>
            <w:fldChar w:fldCharType="begin"/>
          </w:r>
          <w:r>
            <w:instrText xml:space="preserve"> TOC \h \u \z </w:instrText>
          </w:r>
          <w:r>
            <w:fldChar w:fldCharType="separate"/>
          </w:r>
          <w:hyperlink w:anchor="_Toc65102439" w:history="1">
            <w:r w:rsidR="00A47BC6" w:rsidRPr="00F664CE">
              <w:rPr>
                <w:rStyle w:val="Hyperlink"/>
                <w:noProof/>
                <w:lang w:val="fr-FR"/>
              </w:rPr>
              <w:t>Contexte (1/2 à 1 page)</w:t>
            </w:r>
            <w:r w:rsidR="00A47BC6">
              <w:rPr>
                <w:noProof/>
                <w:webHidden/>
              </w:rPr>
              <w:tab/>
            </w:r>
            <w:r w:rsidR="00A47BC6">
              <w:rPr>
                <w:noProof/>
                <w:webHidden/>
              </w:rPr>
              <w:fldChar w:fldCharType="begin"/>
            </w:r>
            <w:r w:rsidR="00A47BC6">
              <w:rPr>
                <w:noProof/>
                <w:webHidden/>
              </w:rPr>
              <w:instrText xml:space="preserve"> PAGEREF _Toc65102439 \h </w:instrText>
            </w:r>
            <w:r w:rsidR="00A47BC6">
              <w:rPr>
                <w:noProof/>
                <w:webHidden/>
              </w:rPr>
            </w:r>
            <w:r w:rsidR="00A47BC6">
              <w:rPr>
                <w:noProof/>
                <w:webHidden/>
              </w:rPr>
              <w:fldChar w:fldCharType="separate"/>
            </w:r>
            <w:r w:rsidR="00A47BC6">
              <w:rPr>
                <w:noProof/>
                <w:webHidden/>
              </w:rPr>
              <w:t>3</w:t>
            </w:r>
            <w:r w:rsidR="00A47BC6">
              <w:rPr>
                <w:noProof/>
                <w:webHidden/>
              </w:rPr>
              <w:fldChar w:fldCharType="end"/>
            </w:r>
          </w:hyperlink>
        </w:p>
        <w:p w:rsidR="00A47BC6" w:rsidRDefault="00A47BC6">
          <w:pPr>
            <w:pStyle w:val="TOC1"/>
            <w:tabs>
              <w:tab w:val="right" w:pos="9350"/>
            </w:tabs>
            <w:rPr>
              <w:noProof/>
            </w:rPr>
          </w:pPr>
          <w:hyperlink w:anchor="_Toc65102440" w:history="1">
            <w:r w:rsidRPr="00F664CE">
              <w:rPr>
                <w:rStyle w:val="Hyperlink"/>
                <w:noProof/>
              </w:rPr>
              <w:t>Objectifs et hypothèse de l’étude (~1/2 page)</w:t>
            </w:r>
            <w:r>
              <w:rPr>
                <w:noProof/>
                <w:webHidden/>
              </w:rPr>
              <w:tab/>
            </w:r>
            <w:r>
              <w:rPr>
                <w:noProof/>
                <w:webHidden/>
              </w:rPr>
              <w:fldChar w:fldCharType="begin"/>
            </w:r>
            <w:r>
              <w:rPr>
                <w:noProof/>
                <w:webHidden/>
              </w:rPr>
              <w:instrText xml:space="preserve"> PAGEREF _Toc65102440 \h </w:instrText>
            </w:r>
            <w:r>
              <w:rPr>
                <w:noProof/>
                <w:webHidden/>
              </w:rPr>
            </w:r>
            <w:r>
              <w:rPr>
                <w:noProof/>
                <w:webHidden/>
              </w:rPr>
              <w:fldChar w:fldCharType="separate"/>
            </w:r>
            <w:r>
              <w:rPr>
                <w:noProof/>
                <w:webHidden/>
              </w:rPr>
              <w:t>4</w:t>
            </w:r>
            <w:r>
              <w:rPr>
                <w:noProof/>
                <w:webHidden/>
              </w:rPr>
              <w:fldChar w:fldCharType="end"/>
            </w:r>
          </w:hyperlink>
        </w:p>
        <w:p w:rsidR="00A47BC6" w:rsidRDefault="00A47BC6">
          <w:pPr>
            <w:pStyle w:val="TOC1"/>
            <w:tabs>
              <w:tab w:val="right" w:pos="9350"/>
            </w:tabs>
            <w:rPr>
              <w:noProof/>
            </w:rPr>
          </w:pPr>
          <w:hyperlink w:anchor="_Toc65102441" w:history="1">
            <w:r w:rsidRPr="00F664CE">
              <w:rPr>
                <w:rStyle w:val="Hyperlink"/>
                <w:noProof/>
              </w:rPr>
              <w:t>Approche méthodologique proposée (1 à 1 ½ page)</w:t>
            </w:r>
            <w:r>
              <w:rPr>
                <w:noProof/>
                <w:webHidden/>
              </w:rPr>
              <w:tab/>
            </w:r>
            <w:r>
              <w:rPr>
                <w:noProof/>
                <w:webHidden/>
              </w:rPr>
              <w:fldChar w:fldCharType="begin"/>
            </w:r>
            <w:r>
              <w:rPr>
                <w:noProof/>
                <w:webHidden/>
              </w:rPr>
              <w:instrText xml:space="preserve"> PAGEREF _Toc65102441 \h </w:instrText>
            </w:r>
            <w:r>
              <w:rPr>
                <w:noProof/>
                <w:webHidden/>
              </w:rPr>
            </w:r>
            <w:r>
              <w:rPr>
                <w:noProof/>
                <w:webHidden/>
              </w:rPr>
              <w:fldChar w:fldCharType="separate"/>
            </w:r>
            <w:r>
              <w:rPr>
                <w:noProof/>
                <w:webHidden/>
              </w:rPr>
              <w:t>5</w:t>
            </w:r>
            <w:r>
              <w:rPr>
                <w:noProof/>
                <w:webHidden/>
              </w:rPr>
              <w:fldChar w:fldCharType="end"/>
            </w:r>
          </w:hyperlink>
        </w:p>
        <w:p w:rsidR="00A47BC6" w:rsidRDefault="00A47BC6">
          <w:pPr>
            <w:pStyle w:val="TOC2"/>
            <w:tabs>
              <w:tab w:val="right" w:pos="9350"/>
            </w:tabs>
            <w:rPr>
              <w:noProof/>
            </w:rPr>
          </w:pPr>
          <w:hyperlink w:anchor="_Toc65102442" w:history="1">
            <w:r w:rsidRPr="00F664CE">
              <w:rPr>
                <w:rStyle w:val="Hyperlink"/>
                <w:noProof/>
              </w:rPr>
              <w:t>Données</w:t>
            </w:r>
            <w:r>
              <w:rPr>
                <w:noProof/>
                <w:webHidden/>
              </w:rPr>
              <w:tab/>
            </w:r>
            <w:r>
              <w:rPr>
                <w:noProof/>
                <w:webHidden/>
              </w:rPr>
              <w:fldChar w:fldCharType="begin"/>
            </w:r>
            <w:r>
              <w:rPr>
                <w:noProof/>
                <w:webHidden/>
              </w:rPr>
              <w:instrText xml:space="preserve"> PAGEREF _Toc65102442 \h </w:instrText>
            </w:r>
            <w:r>
              <w:rPr>
                <w:noProof/>
                <w:webHidden/>
              </w:rPr>
            </w:r>
            <w:r>
              <w:rPr>
                <w:noProof/>
                <w:webHidden/>
              </w:rPr>
              <w:fldChar w:fldCharType="separate"/>
            </w:r>
            <w:r>
              <w:rPr>
                <w:noProof/>
                <w:webHidden/>
              </w:rPr>
              <w:t>5</w:t>
            </w:r>
            <w:r>
              <w:rPr>
                <w:noProof/>
                <w:webHidden/>
              </w:rPr>
              <w:fldChar w:fldCharType="end"/>
            </w:r>
          </w:hyperlink>
        </w:p>
        <w:p w:rsidR="00A47BC6" w:rsidRDefault="00A47BC6">
          <w:pPr>
            <w:pStyle w:val="TOC2"/>
            <w:tabs>
              <w:tab w:val="right" w:pos="9350"/>
            </w:tabs>
            <w:rPr>
              <w:noProof/>
            </w:rPr>
          </w:pPr>
          <w:hyperlink w:anchor="_Toc65102443" w:history="1">
            <w:r w:rsidRPr="00F664CE">
              <w:rPr>
                <w:rStyle w:val="Hyperlink"/>
                <w:noProof/>
              </w:rPr>
              <w:t>Zone d’étude</w:t>
            </w:r>
            <w:r>
              <w:rPr>
                <w:noProof/>
                <w:webHidden/>
              </w:rPr>
              <w:tab/>
            </w:r>
            <w:r>
              <w:rPr>
                <w:noProof/>
                <w:webHidden/>
              </w:rPr>
              <w:fldChar w:fldCharType="begin"/>
            </w:r>
            <w:r>
              <w:rPr>
                <w:noProof/>
                <w:webHidden/>
              </w:rPr>
              <w:instrText xml:space="preserve"> PAGEREF _Toc65102443 \h </w:instrText>
            </w:r>
            <w:r>
              <w:rPr>
                <w:noProof/>
                <w:webHidden/>
              </w:rPr>
            </w:r>
            <w:r>
              <w:rPr>
                <w:noProof/>
                <w:webHidden/>
              </w:rPr>
              <w:fldChar w:fldCharType="separate"/>
            </w:r>
            <w:r>
              <w:rPr>
                <w:noProof/>
                <w:webHidden/>
              </w:rPr>
              <w:t>6</w:t>
            </w:r>
            <w:r>
              <w:rPr>
                <w:noProof/>
                <w:webHidden/>
              </w:rPr>
              <w:fldChar w:fldCharType="end"/>
            </w:r>
          </w:hyperlink>
        </w:p>
        <w:p w:rsidR="00A47BC6" w:rsidRDefault="00A47BC6">
          <w:pPr>
            <w:pStyle w:val="TOC2"/>
            <w:tabs>
              <w:tab w:val="right" w:pos="9350"/>
            </w:tabs>
            <w:rPr>
              <w:noProof/>
            </w:rPr>
          </w:pPr>
          <w:hyperlink w:anchor="_Toc65102444" w:history="1">
            <w:r w:rsidRPr="00F664CE">
              <w:rPr>
                <w:rStyle w:val="Hyperlink"/>
                <w:noProof/>
              </w:rPr>
              <w:t>Période de l’étude</w:t>
            </w:r>
            <w:r>
              <w:rPr>
                <w:noProof/>
                <w:webHidden/>
              </w:rPr>
              <w:tab/>
            </w:r>
            <w:r>
              <w:rPr>
                <w:noProof/>
                <w:webHidden/>
              </w:rPr>
              <w:fldChar w:fldCharType="begin"/>
            </w:r>
            <w:r>
              <w:rPr>
                <w:noProof/>
                <w:webHidden/>
              </w:rPr>
              <w:instrText xml:space="preserve"> PAGEREF _Toc65102444 \h </w:instrText>
            </w:r>
            <w:r>
              <w:rPr>
                <w:noProof/>
                <w:webHidden/>
              </w:rPr>
            </w:r>
            <w:r>
              <w:rPr>
                <w:noProof/>
                <w:webHidden/>
              </w:rPr>
              <w:fldChar w:fldCharType="separate"/>
            </w:r>
            <w:r>
              <w:rPr>
                <w:noProof/>
                <w:webHidden/>
              </w:rPr>
              <w:t>6</w:t>
            </w:r>
            <w:r>
              <w:rPr>
                <w:noProof/>
                <w:webHidden/>
              </w:rPr>
              <w:fldChar w:fldCharType="end"/>
            </w:r>
          </w:hyperlink>
        </w:p>
        <w:p w:rsidR="00A47BC6" w:rsidRDefault="00A47BC6">
          <w:pPr>
            <w:pStyle w:val="TOC2"/>
            <w:tabs>
              <w:tab w:val="right" w:pos="9350"/>
            </w:tabs>
            <w:rPr>
              <w:noProof/>
            </w:rPr>
          </w:pPr>
          <w:hyperlink w:anchor="_Toc65102445" w:history="1">
            <w:r w:rsidRPr="00F664CE">
              <w:rPr>
                <w:rStyle w:val="Hyperlink"/>
                <w:noProof/>
              </w:rPr>
              <w:t>Méthodologie</w:t>
            </w:r>
            <w:r>
              <w:rPr>
                <w:noProof/>
                <w:webHidden/>
              </w:rPr>
              <w:tab/>
            </w:r>
            <w:r>
              <w:rPr>
                <w:noProof/>
                <w:webHidden/>
              </w:rPr>
              <w:fldChar w:fldCharType="begin"/>
            </w:r>
            <w:r>
              <w:rPr>
                <w:noProof/>
                <w:webHidden/>
              </w:rPr>
              <w:instrText xml:space="preserve"> PAGEREF _Toc65102445 \h </w:instrText>
            </w:r>
            <w:r>
              <w:rPr>
                <w:noProof/>
                <w:webHidden/>
              </w:rPr>
            </w:r>
            <w:r>
              <w:rPr>
                <w:noProof/>
                <w:webHidden/>
              </w:rPr>
              <w:fldChar w:fldCharType="separate"/>
            </w:r>
            <w:r>
              <w:rPr>
                <w:noProof/>
                <w:webHidden/>
              </w:rPr>
              <w:t>6</w:t>
            </w:r>
            <w:r>
              <w:rPr>
                <w:noProof/>
                <w:webHidden/>
              </w:rPr>
              <w:fldChar w:fldCharType="end"/>
            </w:r>
          </w:hyperlink>
        </w:p>
        <w:p w:rsidR="00A47BC6" w:rsidRDefault="00A47BC6">
          <w:pPr>
            <w:pStyle w:val="TOC1"/>
            <w:tabs>
              <w:tab w:val="right" w:pos="9350"/>
            </w:tabs>
            <w:rPr>
              <w:noProof/>
            </w:rPr>
          </w:pPr>
          <w:hyperlink w:anchor="_Toc65102446" w:history="1">
            <w:r w:rsidRPr="00F664CE">
              <w:rPr>
                <w:rStyle w:val="Hyperlink"/>
                <w:noProof/>
              </w:rPr>
              <w:t>Les résultats attendus (1/2 page à 1 page)</w:t>
            </w:r>
            <w:r>
              <w:rPr>
                <w:noProof/>
                <w:webHidden/>
              </w:rPr>
              <w:tab/>
            </w:r>
            <w:r>
              <w:rPr>
                <w:noProof/>
                <w:webHidden/>
              </w:rPr>
              <w:fldChar w:fldCharType="begin"/>
            </w:r>
            <w:r>
              <w:rPr>
                <w:noProof/>
                <w:webHidden/>
              </w:rPr>
              <w:instrText xml:space="preserve"> PAGEREF _Toc65102446 \h </w:instrText>
            </w:r>
            <w:r>
              <w:rPr>
                <w:noProof/>
                <w:webHidden/>
              </w:rPr>
            </w:r>
            <w:r>
              <w:rPr>
                <w:noProof/>
                <w:webHidden/>
              </w:rPr>
              <w:fldChar w:fldCharType="separate"/>
            </w:r>
            <w:r>
              <w:rPr>
                <w:noProof/>
                <w:webHidden/>
              </w:rPr>
              <w:t>9</w:t>
            </w:r>
            <w:r>
              <w:rPr>
                <w:noProof/>
                <w:webHidden/>
              </w:rPr>
              <w:fldChar w:fldCharType="end"/>
            </w:r>
          </w:hyperlink>
        </w:p>
        <w:p w:rsidR="00A47BC6" w:rsidRDefault="00A47BC6">
          <w:pPr>
            <w:pStyle w:val="TOC1"/>
            <w:tabs>
              <w:tab w:val="right" w:pos="9350"/>
            </w:tabs>
            <w:rPr>
              <w:noProof/>
            </w:rPr>
          </w:pPr>
          <w:hyperlink w:anchor="_Toc65102447" w:history="1">
            <w:r w:rsidRPr="00F664CE">
              <w:rPr>
                <w:rStyle w:val="Hyperlink"/>
                <w:noProof/>
              </w:rPr>
              <w:t>Budget (1/2 page)</w:t>
            </w:r>
            <w:r>
              <w:rPr>
                <w:noProof/>
                <w:webHidden/>
              </w:rPr>
              <w:tab/>
            </w:r>
            <w:r>
              <w:rPr>
                <w:noProof/>
                <w:webHidden/>
              </w:rPr>
              <w:fldChar w:fldCharType="begin"/>
            </w:r>
            <w:r>
              <w:rPr>
                <w:noProof/>
                <w:webHidden/>
              </w:rPr>
              <w:instrText xml:space="preserve"> PAGEREF _Toc65102447 \h </w:instrText>
            </w:r>
            <w:r>
              <w:rPr>
                <w:noProof/>
                <w:webHidden/>
              </w:rPr>
            </w:r>
            <w:r>
              <w:rPr>
                <w:noProof/>
                <w:webHidden/>
              </w:rPr>
              <w:fldChar w:fldCharType="separate"/>
            </w:r>
            <w:r>
              <w:rPr>
                <w:noProof/>
                <w:webHidden/>
              </w:rPr>
              <w:t>10</w:t>
            </w:r>
            <w:r>
              <w:rPr>
                <w:noProof/>
                <w:webHidden/>
              </w:rPr>
              <w:fldChar w:fldCharType="end"/>
            </w:r>
          </w:hyperlink>
        </w:p>
        <w:p w:rsidR="00A47BC6" w:rsidRDefault="00A47BC6">
          <w:pPr>
            <w:pStyle w:val="TOC1"/>
            <w:tabs>
              <w:tab w:val="right" w:pos="9350"/>
            </w:tabs>
            <w:rPr>
              <w:noProof/>
            </w:rPr>
          </w:pPr>
          <w:hyperlink w:anchor="_Toc65102448" w:history="1">
            <w:r w:rsidRPr="00F664CE">
              <w:rPr>
                <w:rStyle w:val="Hyperlink"/>
                <w:noProof/>
              </w:rPr>
              <w:t>Références</w:t>
            </w:r>
            <w:r>
              <w:rPr>
                <w:noProof/>
                <w:webHidden/>
              </w:rPr>
              <w:tab/>
            </w:r>
            <w:r>
              <w:rPr>
                <w:noProof/>
                <w:webHidden/>
              </w:rPr>
              <w:fldChar w:fldCharType="begin"/>
            </w:r>
            <w:r>
              <w:rPr>
                <w:noProof/>
                <w:webHidden/>
              </w:rPr>
              <w:instrText xml:space="preserve"> PAGEREF _Toc65102448 \h </w:instrText>
            </w:r>
            <w:r>
              <w:rPr>
                <w:noProof/>
                <w:webHidden/>
              </w:rPr>
            </w:r>
            <w:r>
              <w:rPr>
                <w:noProof/>
                <w:webHidden/>
              </w:rPr>
              <w:fldChar w:fldCharType="separate"/>
            </w:r>
            <w:r>
              <w:rPr>
                <w:noProof/>
                <w:webHidden/>
              </w:rPr>
              <w:t>11</w:t>
            </w:r>
            <w:r>
              <w:rPr>
                <w:noProof/>
                <w:webHidden/>
              </w:rPr>
              <w:fldChar w:fldCharType="end"/>
            </w:r>
          </w:hyperlink>
        </w:p>
        <w:p w:rsidR="00F26EEC" w:rsidRDefault="00DB5754">
          <w:pPr>
            <w:tabs>
              <w:tab w:val="right" w:pos="9360"/>
            </w:tabs>
            <w:spacing w:before="60" w:after="80" w:line="240" w:lineRule="auto"/>
            <w:ind w:left="360"/>
            <w:rPr>
              <w:color w:val="000000"/>
            </w:rPr>
          </w:pPr>
          <w:r>
            <w:fldChar w:fldCharType="end"/>
          </w:r>
        </w:p>
      </w:sdtContent>
    </w:sdt>
    <w:p w:rsidR="00F26EEC" w:rsidRDefault="00F26EEC">
      <w:pPr>
        <w:rPr>
          <w:u w:val="single"/>
        </w:rPr>
      </w:pPr>
    </w:p>
    <w:p w:rsidR="00F26EEC" w:rsidRDefault="00DB5754">
      <w:pPr>
        <w:spacing w:after="120"/>
        <w:rPr>
          <w:u w:val="single"/>
        </w:rPr>
      </w:pPr>
      <w:r>
        <w:br w:type="page"/>
      </w:r>
    </w:p>
    <w:p w:rsidR="00F26EEC" w:rsidRPr="00A47BC6" w:rsidRDefault="00DB5754">
      <w:pPr>
        <w:pStyle w:val="Heading1"/>
        <w:rPr>
          <w:lang w:val="fr-FR"/>
        </w:rPr>
      </w:pPr>
      <w:bookmarkStart w:id="1" w:name="_Toc65102439"/>
      <w:r w:rsidRPr="00A47BC6">
        <w:rPr>
          <w:lang w:val="fr-FR"/>
        </w:rPr>
        <w:lastRenderedPageBreak/>
        <w:t>Contexte (1/2 à 1 page)</w:t>
      </w:r>
      <w:bookmarkEnd w:id="1"/>
    </w:p>
    <w:p w:rsidR="00F26EEC" w:rsidRPr="00A47BC6" w:rsidRDefault="00DB5754">
      <w:pPr>
        <w:rPr>
          <w:i/>
          <w:lang w:val="fr-FR"/>
        </w:rPr>
      </w:pPr>
      <w:r w:rsidRPr="00A47BC6">
        <w:rPr>
          <w:i/>
          <w:lang w:val="fr-FR"/>
        </w:rPr>
        <w:t>Expliquez pourquoi l’étude est nécessaire dans le contexte actuel (1/2 à 1 page) et faites</w:t>
      </w:r>
    </w:p>
    <w:p w:rsidR="00F26EEC" w:rsidRPr="00A47BC6" w:rsidRDefault="00DB5754">
      <w:pPr>
        <w:rPr>
          <w:i/>
          <w:lang w:val="fr-FR"/>
        </w:rPr>
      </w:pPr>
      <w:proofErr w:type="gramStart"/>
      <w:r w:rsidRPr="00A47BC6">
        <w:rPr>
          <w:i/>
          <w:lang w:val="fr-FR"/>
        </w:rPr>
        <w:t>le</w:t>
      </w:r>
      <w:proofErr w:type="gramEnd"/>
      <w:r w:rsidRPr="00A47BC6">
        <w:rPr>
          <w:i/>
          <w:lang w:val="fr-FR"/>
        </w:rPr>
        <w:t xml:space="preserve"> lien avec la littérature actuelle.</w:t>
      </w:r>
    </w:p>
    <w:p w:rsidR="00F26EEC" w:rsidRPr="00A47BC6" w:rsidRDefault="00DB5754">
      <w:pPr>
        <w:rPr>
          <w:lang w:val="fr-FR"/>
        </w:rPr>
      </w:pPr>
      <w:r w:rsidRPr="00A47BC6">
        <w:rPr>
          <w:lang w:val="fr-FR"/>
        </w:rPr>
        <w:t>Les changements climatiques se</w:t>
      </w:r>
      <w:r w:rsidRPr="00A47BC6">
        <w:rPr>
          <w:lang w:val="fr-FR"/>
        </w:rPr>
        <w:t xml:space="preserve"> sont installés et sèment une grande confusion quant aux effets qu’ils pourraient engendrer (Cohen, </w:t>
      </w:r>
      <w:proofErr w:type="spellStart"/>
      <w:r w:rsidRPr="00A47BC6">
        <w:rPr>
          <w:lang w:val="fr-FR"/>
        </w:rPr>
        <w:t>Koshida</w:t>
      </w:r>
      <w:proofErr w:type="spellEnd"/>
      <w:r w:rsidRPr="00A47BC6">
        <w:rPr>
          <w:lang w:val="fr-FR"/>
        </w:rPr>
        <w:t xml:space="preserve">, et </w:t>
      </w:r>
      <w:proofErr w:type="spellStart"/>
      <w:r w:rsidRPr="00A47BC6">
        <w:rPr>
          <w:lang w:val="fr-FR"/>
        </w:rPr>
        <w:t>Mortsch</w:t>
      </w:r>
      <w:proofErr w:type="spellEnd"/>
      <w:r w:rsidRPr="00A47BC6">
        <w:rPr>
          <w:lang w:val="fr-FR"/>
        </w:rPr>
        <w:t xml:space="preserve"> 2015; « </w:t>
      </w:r>
      <w:proofErr w:type="spellStart"/>
      <w:r w:rsidRPr="00A47BC6">
        <w:rPr>
          <w:lang w:val="fr-FR"/>
        </w:rPr>
        <w:t>Climate</w:t>
      </w:r>
      <w:proofErr w:type="spellEnd"/>
      <w:r w:rsidRPr="00A47BC6">
        <w:rPr>
          <w:lang w:val="fr-FR"/>
        </w:rPr>
        <w:t xml:space="preserve"> scenarios for agriculture - Agriculture and Agri-Food Canada (AAFC) » s. d.; Yang et al. 2013). Cela est dû au fait que </w:t>
      </w:r>
      <w:r w:rsidRPr="00A47BC6">
        <w:rPr>
          <w:lang w:val="fr-FR"/>
        </w:rPr>
        <w:t>le système climatique est très complexe à comprendre et à maitriser, car très dynamique (Yang et al. 2013). Il est néanmoins assez entendu dans la communauté scientifique que la tendance est à l’élévation des températures durant les trente prochaines année</w:t>
      </w:r>
      <w:r w:rsidRPr="00A47BC6">
        <w:rPr>
          <w:lang w:val="fr-FR"/>
        </w:rPr>
        <w:t>s (Collins et al., s. d.). Même si le système climatique est complexe, il semble assez intuitif d’assumer que des périodes de sècheresse plus fréquentes, plus longues et plus sévères se produiront durant cette nouvelle ère en raison de cette hausse de temp</w:t>
      </w:r>
      <w:r w:rsidRPr="00A47BC6">
        <w:rPr>
          <w:lang w:val="fr-FR"/>
        </w:rPr>
        <w:t>érature. Il semble aussi prudent de présumer que ces périodes de sècheresse intense</w:t>
      </w:r>
      <w:r w:rsidR="00A47BC6">
        <w:rPr>
          <w:lang w:val="fr-FR"/>
        </w:rPr>
        <w:t>s</w:t>
      </w:r>
      <w:r w:rsidRPr="00A47BC6">
        <w:rPr>
          <w:lang w:val="fr-FR"/>
        </w:rPr>
        <w:t xml:space="preserve"> auront plus de chance de se dérouler dans les régions climatiques déjà propices et historiquement touchées. Ces régions sont connues, et une partie du Canada fait partie de</w:t>
      </w:r>
      <w:r w:rsidRPr="00A47BC6">
        <w:rPr>
          <w:lang w:val="fr-FR"/>
        </w:rPr>
        <w:t xml:space="preserve"> ces zones historiquement impactées par la sècheresse.</w:t>
      </w:r>
    </w:p>
    <w:p w:rsidR="00F26EEC" w:rsidRPr="00A47BC6" w:rsidRDefault="00DB5754">
      <w:pPr>
        <w:rPr>
          <w:lang w:val="fr-FR"/>
        </w:rPr>
      </w:pPr>
      <w:r w:rsidRPr="00A47BC6">
        <w:rPr>
          <w:lang w:val="fr-FR"/>
        </w:rPr>
        <w:t>Les effets de la sècheresse sont connus et nombreux. Même si cette étude se concentre sur les sols agricoles au Canada, plusieurs autres secteurs sont impactés : le système climatique lui-même, princip</w:t>
      </w:r>
      <w:r w:rsidRPr="00A47BC6">
        <w:rPr>
          <w:lang w:val="fr-FR"/>
        </w:rPr>
        <w:t xml:space="preserve">alement dû au cycle hydrologique; </w:t>
      </w:r>
      <w:proofErr w:type="spellStart"/>
      <w:r w:rsidRPr="00A47BC6">
        <w:rPr>
          <w:lang w:val="fr-FR"/>
        </w:rPr>
        <w:t>Yusa</w:t>
      </w:r>
      <w:proofErr w:type="spellEnd"/>
      <w:r w:rsidRPr="00A47BC6">
        <w:rPr>
          <w:lang w:val="fr-FR"/>
        </w:rPr>
        <w:t xml:space="preserve"> et al. 2015 relève</w:t>
      </w:r>
      <w:r w:rsidR="00A47BC6">
        <w:rPr>
          <w:lang w:val="fr-FR"/>
        </w:rPr>
        <w:t>nt</w:t>
      </w:r>
      <w:r w:rsidRPr="00A47BC6">
        <w:rPr>
          <w:lang w:val="fr-FR"/>
        </w:rPr>
        <w:t xml:space="preserve"> des enjeux pour ceux “de </w:t>
      </w:r>
      <w:r w:rsidRPr="00A47BC6">
        <w:rPr>
          <w:lang w:val="fr-FR"/>
        </w:rPr>
        <w:t>la santé, de la société, de l’agriculture, incluant les cultures, mais aussi le bétail, forestier, municipal et récréatif”. Et par ricochet celui de l’économie (</w:t>
      </w:r>
      <w:proofErr w:type="spellStart"/>
      <w:r w:rsidRPr="00A47BC6">
        <w:rPr>
          <w:lang w:val="fr-FR"/>
        </w:rPr>
        <w:t>Kulshreshth</w:t>
      </w:r>
      <w:r w:rsidRPr="00A47BC6">
        <w:rPr>
          <w:lang w:val="fr-FR"/>
        </w:rPr>
        <w:t>a</w:t>
      </w:r>
      <w:proofErr w:type="spellEnd"/>
      <w:r w:rsidRPr="00A47BC6">
        <w:rPr>
          <w:lang w:val="fr-FR"/>
        </w:rPr>
        <w:t xml:space="preserve"> 2011).</w:t>
      </w:r>
    </w:p>
    <w:p w:rsidR="00F26EEC" w:rsidRPr="00A47BC6" w:rsidRDefault="00DB5754">
      <w:pPr>
        <w:rPr>
          <w:lang w:val="fr-FR"/>
        </w:rPr>
      </w:pPr>
      <w:r w:rsidRPr="00A47BC6">
        <w:rPr>
          <w:lang w:val="fr-FR"/>
        </w:rPr>
        <w:t>L’être humain semble être responsable de ces changements climatiques, conséquence de son évolution. Paradoxalement, cette évolution lui fournit des outils pour tenter de prendre le contrôle des variables climatiques, en les mesurant pour mieux les</w:t>
      </w:r>
      <w:r w:rsidRPr="00A47BC6">
        <w:rPr>
          <w:lang w:val="fr-FR"/>
        </w:rPr>
        <w:t xml:space="preserve"> surveiller, avec comme objectif ultime de modéliser avec précision le système climatique entier et ainsi prédire les effets, planifier l’avenir, et pouvoir s’adapter. L’humidité du sol est une des cinquantaines variables climatiques essentielles</w:t>
      </w:r>
      <w:r>
        <w:rPr>
          <w:vertAlign w:val="superscript"/>
        </w:rPr>
        <w:footnoteReference w:id="1"/>
      </w:r>
      <w:r w:rsidRPr="00A47BC6">
        <w:rPr>
          <w:lang w:val="fr-FR"/>
        </w:rPr>
        <w:t xml:space="preserve"> répertor</w:t>
      </w:r>
      <w:r w:rsidRPr="00A47BC6">
        <w:rPr>
          <w:lang w:val="fr-FR"/>
        </w:rPr>
        <w:t>ié à ce jour. Cette variable permet entre autres de déterminer l’occurrence d’une sècheresse. Différents indices d’humidité ont été développés depuis des décennies, dont les plus populaires sont le PDSI et le SPI, mais ceux-ci s’appliquent plus à l’étude d</w:t>
      </w:r>
      <w:r w:rsidRPr="00A47BC6">
        <w:rPr>
          <w:lang w:val="fr-FR"/>
        </w:rPr>
        <w:t xml:space="preserve">e l’humidité </w:t>
      </w:r>
      <w:r w:rsidRPr="00A47BC6">
        <w:rPr>
          <w:lang w:val="fr-FR"/>
        </w:rPr>
        <w:lastRenderedPageBreak/>
        <w:t xml:space="preserve">météorologique ou atmosphérique que celle des sols. Le jeu de données ESA CCI SM est un jeu qui est devenu visible il y a peu auprès de la communauté scientifique (Gruber et al. 2019). D’autres choix sont disponibles (« </w:t>
      </w:r>
      <w:proofErr w:type="spellStart"/>
      <w:r w:rsidRPr="00A47BC6">
        <w:rPr>
          <w:lang w:val="fr-FR"/>
        </w:rPr>
        <w:t>Soil</w:t>
      </w:r>
      <w:proofErr w:type="spellEnd"/>
      <w:r w:rsidRPr="00A47BC6">
        <w:rPr>
          <w:lang w:val="fr-FR"/>
        </w:rPr>
        <w:t xml:space="preserve"> </w:t>
      </w:r>
      <w:proofErr w:type="spellStart"/>
      <w:r w:rsidRPr="00A47BC6">
        <w:rPr>
          <w:lang w:val="fr-FR"/>
        </w:rPr>
        <w:t>Moisture</w:t>
      </w:r>
      <w:proofErr w:type="spellEnd"/>
      <w:r w:rsidRPr="00A47BC6">
        <w:rPr>
          <w:lang w:val="fr-FR"/>
        </w:rPr>
        <w:t xml:space="preserve"> Data Sets</w:t>
      </w:r>
      <w:r w:rsidRPr="00A47BC6">
        <w:rPr>
          <w:lang w:val="fr-FR"/>
        </w:rPr>
        <w:t xml:space="preserve">: </w:t>
      </w:r>
      <w:proofErr w:type="spellStart"/>
      <w:r w:rsidRPr="00A47BC6">
        <w:rPr>
          <w:lang w:val="fr-FR"/>
        </w:rPr>
        <w:t>Overview</w:t>
      </w:r>
      <w:proofErr w:type="spellEnd"/>
      <w:r w:rsidRPr="00A47BC6">
        <w:rPr>
          <w:lang w:val="fr-FR"/>
        </w:rPr>
        <w:t xml:space="preserve"> &amp; </w:t>
      </w:r>
      <w:proofErr w:type="spellStart"/>
      <w:r w:rsidRPr="00A47BC6">
        <w:rPr>
          <w:lang w:val="fr-FR"/>
        </w:rPr>
        <w:t>Comparison</w:t>
      </w:r>
      <w:proofErr w:type="spellEnd"/>
      <w:r w:rsidRPr="00A47BC6">
        <w:rPr>
          <w:lang w:val="fr-FR"/>
        </w:rPr>
        <w:t xml:space="preserve"> Tables | NCAR - </w:t>
      </w:r>
      <w:proofErr w:type="spellStart"/>
      <w:r w:rsidRPr="00A47BC6">
        <w:rPr>
          <w:lang w:val="fr-FR"/>
        </w:rPr>
        <w:t>Climate</w:t>
      </w:r>
      <w:proofErr w:type="spellEnd"/>
      <w:r w:rsidRPr="00A47BC6">
        <w:rPr>
          <w:lang w:val="fr-FR"/>
        </w:rPr>
        <w:t xml:space="preserve"> Data Guide » s. d.), mais c’est celui-ci qui a été retenu</w:t>
      </w:r>
      <w:r w:rsidR="00A47BC6">
        <w:rPr>
          <w:lang w:val="fr-FR"/>
        </w:rPr>
        <w:t>,</w:t>
      </w:r>
      <w:r w:rsidRPr="00A47BC6">
        <w:rPr>
          <w:lang w:val="fr-FR"/>
        </w:rPr>
        <w:t xml:space="preserve"> car il semble le plus adapté à cette étude et le plus à jour. </w:t>
      </w:r>
    </w:p>
    <w:p w:rsidR="00F26EEC" w:rsidRPr="00A47BC6" w:rsidRDefault="00DB5754">
      <w:pPr>
        <w:pStyle w:val="Heading1"/>
        <w:rPr>
          <w:lang w:val="fr-FR"/>
        </w:rPr>
      </w:pPr>
      <w:bookmarkStart w:id="2" w:name="_Toc65102440"/>
      <w:r w:rsidRPr="00A47BC6">
        <w:rPr>
          <w:lang w:val="fr-FR"/>
        </w:rPr>
        <w:t>Objectifs et hypothèse de l</w:t>
      </w:r>
      <w:r w:rsidRPr="00A47BC6">
        <w:rPr>
          <w:lang w:val="fr-FR"/>
        </w:rPr>
        <w:t>’étude (~1/2 page)</w:t>
      </w:r>
      <w:bookmarkEnd w:id="2"/>
    </w:p>
    <w:p w:rsidR="00F26EEC" w:rsidRPr="00A47BC6" w:rsidRDefault="00DB5754">
      <w:pPr>
        <w:rPr>
          <w:i/>
          <w:lang w:val="fr-FR"/>
        </w:rPr>
      </w:pPr>
      <w:r w:rsidRPr="00A47BC6">
        <w:rPr>
          <w:i/>
          <w:lang w:val="fr-FR"/>
        </w:rPr>
        <w:t>Expliquez les objectifs de l’étude</w:t>
      </w:r>
    </w:p>
    <w:p w:rsidR="00F26EEC" w:rsidRPr="00A47BC6" w:rsidRDefault="00DB5754">
      <w:pPr>
        <w:rPr>
          <w:i/>
          <w:lang w:val="fr-FR"/>
        </w:rPr>
      </w:pPr>
      <w:r w:rsidRPr="00A47BC6">
        <w:rPr>
          <w:i/>
          <w:lang w:val="fr-FR"/>
        </w:rPr>
        <w:t>Poser une hypothèse nulle que vous voudrez vérifier.</w:t>
      </w:r>
    </w:p>
    <w:p w:rsidR="00F26EEC" w:rsidRPr="00A47BC6" w:rsidRDefault="00DB5754">
      <w:pPr>
        <w:rPr>
          <w:i/>
          <w:lang w:val="fr-FR"/>
        </w:rPr>
      </w:pPr>
      <w:proofErr w:type="gramStart"/>
      <w:r w:rsidRPr="00A47BC6">
        <w:rPr>
          <w:i/>
          <w:lang w:val="fr-FR"/>
        </w:rPr>
        <w:t>La rapport final</w:t>
      </w:r>
      <w:proofErr w:type="gramEnd"/>
      <w:r w:rsidRPr="00A47BC6">
        <w:rPr>
          <w:i/>
          <w:lang w:val="fr-FR"/>
        </w:rPr>
        <w:t xml:space="preserve"> devra expliquer les conséquences écologiques et/ou sociales des observations faites. </w:t>
      </w:r>
    </w:p>
    <w:p w:rsidR="00F26EEC" w:rsidRPr="00A47BC6" w:rsidRDefault="00F26EEC">
      <w:pPr>
        <w:rPr>
          <w:i/>
          <w:lang w:val="fr-FR"/>
        </w:rPr>
      </w:pPr>
    </w:p>
    <w:p w:rsidR="00F26EEC" w:rsidRPr="00A47BC6" w:rsidRDefault="00DB5754">
      <w:pPr>
        <w:rPr>
          <w:lang w:val="fr-FR"/>
        </w:rPr>
      </w:pPr>
      <w:r w:rsidRPr="00A47BC6">
        <w:rPr>
          <w:lang w:val="fr-FR"/>
        </w:rPr>
        <w:t>L’objectif principal est d’étudier les changements de la variable environnementale “humidité du sol</w:t>
      </w:r>
      <w:r w:rsidRPr="00A47BC6">
        <w:rPr>
          <w:lang w:val="fr-FR"/>
        </w:rPr>
        <w:t>”, à l’échelle du Canada, pour évaluer les changements régionaux et/ou locaux pendant la période d’étude 1978-2019.</w:t>
      </w:r>
    </w:p>
    <w:p w:rsidR="00F26EEC" w:rsidRPr="00A47BC6" w:rsidRDefault="00DB5754">
      <w:pPr>
        <w:rPr>
          <w:lang w:val="fr-FR"/>
        </w:rPr>
      </w:pPr>
      <w:r w:rsidRPr="00A47BC6">
        <w:rPr>
          <w:lang w:val="fr-FR"/>
        </w:rPr>
        <w:t>Les sous-objectifs sont d’évaluer si des périodes de sècheresse plus fréquentes, plus longues et plus sévères risquent de se produire en rai</w:t>
      </w:r>
      <w:r w:rsidRPr="00A47BC6">
        <w:rPr>
          <w:lang w:val="fr-FR"/>
        </w:rPr>
        <w:t>son de la hausse des températures, selon la tendance observée. Il est aussi désiré d’évaluer si ces périodes de sècheresse intenses ont plus de chance de se dérouler dans les régions climatiques déjà propices et historiquement touchées. Si le temps le perm</w:t>
      </w:r>
      <w:r w:rsidRPr="00A47BC6">
        <w:rPr>
          <w:lang w:val="fr-FR"/>
        </w:rPr>
        <w:t>et</w:t>
      </w:r>
      <w:r w:rsidR="00A47BC6">
        <w:rPr>
          <w:lang w:val="fr-FR"/>
        </w:rPr>
        <w:t>,</w:t>
      </w:r>
      <w:r w:rsidRPr="00A47BC6">
        <w:rPr>
          <w:lang w:val="fr-FR"/>
        </w:rPr>
        <w:t xml:space="preserve"> il serait intéressant de placer dans le temps les “indices de </w:t>
      </w:r>
      <w:proofErr w:type="spellStart"/>
      <w:r w:rsidRPr="00A47BC6">
        <w:rPr>
          <w:lang w:val="fr-FR"/>
        </w:rPr>
        <w:t>téléconnexion</w:t>
      </w:r>
      <w:proofErr w:type="spellEnd"/>
      <w:r w:rsidRPr="00A47BC6">
        <w:rPr>
          <w:lang w:val="fr-FR"/>
        </w:rPr>
        <w:t xml:space="preserve">” (oscillations) et anomalies climatiques, tel que </w:t>
      </w:r>
      <w:r w:rsidRPr="00A47BC6">
        <w:rPr>
          <w:lang w:val="fr-FR"/>
        </w:rPr>
        <w:t>“El Niño-</w:t>
      </w:r>
      <w:proofErr w:type="spellStart"/>
      <w:r w:rsidRPr="00A47BC6">
        <w:rPr>
          <w:lang w:val="fr-FR"/>
        </w:rPr>
        <w:t>Southern</w:t>
      </w:r>
      <w:proofErr w:type="spellEnd"/>
      <w:r w:rsidRPr="00A47BC6">
        <w:rPr>
          <w:lang w:val="fr-FR"/>
        </w:rPr>
        <w:t xml:space="preserve"> Oscillation (ENSO)”, “Pacific </w:t>
      </w:r>
      <w:proofErr w:type="spellStart"/>
      <w:r w:rsidRPr="00A47BC6">
        <w:rPr>
          <w:lang w:val="fr-FR"/>
        </w:rPr>
        <w:t>Decadal</w:t>
      </w:r>
      <w:proofErr w:type="spellEnd"/>
      <w:r w:rsidRPr="00A47BC6">
        <w:rPr>
          <w:lang w:val="fr-FR"/>
        </w:rPr>
        <w:t xml:space="preserve"> Oscillation (PDO)”, “</w:t>
      </w:r>
      <w:proofErr w:type="spellStart"/>
      <w:r w:rsidRPr="00A47BC6">
        <w:rPr>
          <w:lang w:val="fr-FR"/>
        </w:rPr>
        <w:t>North</w:t>
      </w:r>
      <w:proofErr w:type="spellEnd"/>
      <w:r w:rsidRPr="00A47BC6">
        <w:rPr>
          <w:lang w:val="fr-FR"/>
        </w:rPr>
        <w:t xml:space="preserve"> Atlantic Oscillation (NAO)” (</w:t>
      </w:r>
      <w:proofErr w:type="spellStart"/>
      <w:r w:rsidRPr="00A47BC6">
        <w:rPr>
          <w:lang w:val="fr-FR"/>
        </w:rPr>
        <w:t>Mortsch</w:t>
      </w:r>
      <w:proofErr w:type="spellEnd"/>
      <w:r w:rsidRPr="00A47BC6">
        <w:rPr>
          <w:lang w:val="fr-FR"/>
        </w:rPr>
        <w:t>, Cohen</w:t>
      </w:r>
      <w:r w:rsidRPr="00A47BC6">
        <w:rPr>
          <w:lang w:val="fr-FR"/>
        </w:rPr>
        <w:t xml:space="preserve">, et </w:t>
      </w:r>
      <w:proofErr w:type="spellStart"/>
      <w:r w:rsidRPr="00A47BC6">
        <w:rPr>
          <w:lang w:val="fr-FR"/>
        </w:rPr>
        <w:t>Koshida</w:t>
      </w:r>
      <w:proofErr w:type="spellEnd"/>
      <w:r w:rsidRPr="00A47BC6">
        <w:rPr>
          <w:lang w:val="fr-FR"/>
        </w:rPr>
        <w:t xml:space="preserve"> 2015; </w:t>
      </w:r>
      <w:proofErr w:type="spellStart"/>
      <w:r w:rsidRPr="00A47BC6">
        <w:rPr>
          <w:lang w:val="fr-FR"/>
        </w:rPr>
        <w:t>Bonsal</w:t>
      </w:r>
      <w:proofErr w:type="spellEnd"/>
      <w:r w:rsidRPr="00A47BC6">
        <w:rPr>
          <w:lang w:val="fr-FR"/>
        </w:rPr>
        <w:t xml:space="preserve"> et al. 2011), et observer une potentielle corrélation dans le temps avec les effets de la s</w:t>
      </w:r>
      <w:r w:rsidR="00A47BC6">
        <w:rPr>
          <w:lang w:val="fr-FR"/>
        </w:rPr>
        <w:t>è</w:t>
      </w:r>
      <w:r w:rsidRPr="00A47BC6">
        <w:rPr>
          <w:lang w:val="fr-FR"/>
        </w:rPr>
        <w:t xml:space="preserve">cheresse agricole. </w:t>
      </w:r>
    </w:p>
    <w:p w:rsidR="00F26EEC" w:rsidRPr="00A47BC6" w:rsidRDefault="00F26EEC">
      <w:pPr>
        <w:rPr>
          <w:lang w:val="fr-FR"/>
        </w:rPr>
      </w:pPr>
    </w:p>
    <w:p w:rsidR="00F26EEC" w:rsidRPr="00A47BC6" w:rsidRDefault="00DB5754">
      <w:pPr>
        <w:rPr>
          <w:lang w:val="fr-FR"/>
        </w:rPr>
      </w:pPr>
      <w:r w:rsidRPr="00A47BC6">
        <w:rPr>
          <w:lang w:val="fr-FR"/>
        </w:rPr>
        <w:t>L’hypothèse nulle posée est la suivante: l’occurrence des épisodes de sècheresse au Canada est-il dû à un phénomène s</w:t>
      </w:r>
      <w:r w:rsidRPr="00A47BC6">
        <w:rPr>
          <w:lang w:val="fr-FR"/>
        </w:rPr>
        <w:t>tochastique (aléatoire) ou prédictif (changements climatiques) ?</w:t>
      </w:r>
    </w:p>
    <w:p w:rsidR="00F26EEC" w:rsidRPr="00A47BC6" w:rsidRDefault="00DB5754">
      <w:pPr>
        <w:pStyle w:val="Heading1"/>
        <w:rPr>
          <w:lang w:val="fr-FR"/>
        </w:rPr>
      </w:pPr>
      <w:bookmarkStart w:id="3" w:name="_Toc65102441"/>
      <w:r w:rsidRPr="00A47BC6">
        <w:rPr>
          <w:lang w:val="fr-FR"/>
        </w:rPr>
        <w:lastRenderedPageBreak/>
        <w:t>Approche méthodologique proposée (1 à 1 ½ page)</w:t>
      </w:r>
      <w:bookmarkEnd w:id="3"/>
      <w:r w:rsidRPr="00A47BC6">
        <w:rPr>
          <w:lang w:val="fr-FR"/>
        </w:rPr>
        <w:t xml:space="preserve">  </w:t>
      </w:r>
    </w:p>
    <w:p w:rsidR="00F26EEC" w:rsidRPr="00A47BC6" w:rsidRDefault="00DB5754">
      <w:pPr>
        <w:rPr>
          <w:i/>
          <w:lang w:val="fr-FR"/>
        </w:rPr>
      </w:pPr>
      <w:r w:rsidRPr="00A47BC6">
        <w:rPr>
          <w:i/>
          <w:lang w:val="fr-FR"/>
        </w:rPr>
        <w:t xml:space="preserve">La source des données (capteurs, site, niveau des données, agglomération spatiale </w:t>
      </w:r>
      <w:proofErr w:type="gramStart"/>
      <w:r w:rsidRPr="00A47BC6">
        <w:rPr>
          <w:i/>
          <w:lang w:val="fr-FR"/>
        </w:rPr>
        <w:t>ou</w:t>
      </w:r>
      <w:proofErr w:type="gramEnd"/>
    </w:p>
    <w:p w:rsidR="00F26EEC" w:rsidRPr="00A47BC6" w:rsidRDefault="00DB5754">
      <w:pPr>
        <w:rPr>
          <w:i/>
          <w:lang w:val="fr-FR"/>
        </w:rPr>
      </w:pPr>
      <w:proofErr w:type="gramStart"/>
      <w:r w:rsidRPr="00A47BC6">
        <w:rPr>
          <w:i/>
          <w:lang w:val="fr-FR"/>
        </w:rPr>
        <w:t>temporelle</w:t>
      </w:r>
      <w:proofErr w:type="gramEnd"/>
      <w:r w:rsidRPr="00A47BC6">
        <w:rPr>
          <w:i/>
          <w:lang w:val="fr-FR"/>
        </w:rPr>
        <w:t>, etc.)</w:t>
      </w:r>
    </w:p>
    <w:p w:rsidR="00F26EEC" w:rsidRPr="00A47BC6" w:rsidRDefault="00DB5754">
      <w:pPr>
        <w:rPr>
          <w:i/>
          <w:lang w:val="fr-FR"/>
        </w:rPr>
      </w:pPr>
      <w:r w:rsidRPr="00A47BC6">
        <w:rPr>
          <w:i/>
          <w:lang w:val="fr-FR"/>
        </w:rPr>
        <w:t>L’approche méthodologique (outils logi</w:t>
      </w:r>
      <w:r w:rsidRPr="00A47BC6">
        <w:rPr>
          <w:i/>
          <w:lang w:val="fr-FR"/>
        </w:rPr>
        <w:t>ciels utilisés, approche statistique prévue).</w:t>
      </w:r>
    </w:p>
    <w:p w:rsidR="00F26EEC" w:rsidRPr="00A47BC6" w:rsidRDefault="00DB5754">
      <w:pPr>
        <w:pStyle w:val="Heading2"/>
        <w:rPr>
          <w:lang w:val="fr-FR"/>
        </w:rPr>
      </w:pPr>
      <w:bookmarkStart w:id="4" w:name="_Toc65102442"/>
      <w:r w:rsidRPr="00A47BC6">
        <w:rPr>
          <w:lang w:val="fr-FR"/>
        </w:rPr>
        <w:t>Données</w:t>
      </w:r>
      <w:bookmarkEnd w:id="4"/>
    </w:p>
    <w:p w:rsidR="00F26EEC" w:rsidRPr="00A47BC6" w:rsidRDefault="00DB5754">
      <w:pPr>
        <w:spacing w:line="276" w:lineRule="auto"/>
        <w:jc w:val="left"/>
        <w:rPr>
          <w:rFonts w:ascii="Arial" w:eastAsia="Arial" w:hAnsi="Arial" w:cs="Arial"/>
          <w:sz w:val="22"/>
          <w:szCs w:val="22"/>
          <w:lang w:val="fr-FR"/>
        </w:rPr>
      </w:pPr>
      <w:r w:rsidRPr="00A47BC6">
        <w:rPr>
          <w:rFonts w:ascii="Arial" w:eastAsia="Arial" w:hAnsi="Arial" w:cs="Arial"/>
          <w:sz w:val="22"/>
          <w:szCs w:val="22"/>
          <w:lang w:val="fr-FR"/>
        </w:rPr>
        <w:t>Les jeux de données principaux qui seront utilisés dans cette étude seront les suivants. Les couches spatiales des limites du Canada, lacs, cours d’eau principaux, et délimitations provinciales seront aussi utilisées pour la cartographie. Une grille géogra</w:t>
      </w:r>
      <w:r w:rsidRPr="00A47BC6">
        <w:rPr>
          <w:rFonts w:ascii="Arial" w:eastAsia="Arial" w:hAnsi="Arial" w:cs="Arial"/>
          <w:sz w:val="22"/>
          <w:szCs w:val="22"/>
          <w:lang w:val="fr-FR"/>
        </w:rPr>
        <w:t xml:space="preserve">phique montrera les zones de latitude principales (0°, 30°, 60°, 90°, Nord et Sud) afin de situer les agrégats spatiaux. </w:t>
      </w:r>
    </w:p>
    <w:tbl>
      <w:tblPr>
        <w:tblStyle w:val="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760"/>
        <w:gridCol w:w="1740"/>
        <w:gridCol w:w="1995"/>
        <w:gridCol w:w="1120"/>
        <w:gridCol w:w="1540"/>
      </w:tblGrid>
      <w:tr w:rsidR="00F26EEC">
        <w:tc>
          <w:tcPr>
            <w:tcW w:w="1340" w:type="dxa"/>
            <w:shd w:val="clear" w:color="auto" w:fill="auto"/>
            <w:tcMar>
              <w:top w:w="100" w:type="dxa"/>
              <w:left w:w="100" w:type="dxa"/>
              <w:bottom w:w="100" w:type="dxa"/>
              <w:right w:w="100" w:type="dxa"/>
            </w:tcMar>
          </w:tcPr>
          <w:p w:rsidR="00F26EEC" w:rsidRPr="00A47BC6" w:rsidRDefault="00F26EEC">
            <w:pPr>
              <w:widowControl w:val="0"/>
              <w:spacing w:line="240" w:lineRule="auto"/>
              <w:jc w:val="left"/>
              <w:rPr>
                <w:rFonts w:ascii="Arial" w:eastAsia="Arial" w:hAnsi="Arial" w:cs="Arial"/>
                <w:sz w:val="22"/>
                <w:szCs w:val="22"/>
                <w:lang w:val="fr-FR"/>
              </w:rPr>
            </w:pPr>
          </w:p>
        </w:tc>
        <w:tc>
          <w:tcPr>
            <w:tcW w:w="176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Type</w:t>
            </w:r>
          </w:p>
        </w:tc>
        <w:tc>
          <w:tcPr>
            <w:tcW w:w="17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Source</w:t>
            </w:r>
          </w:p>
        </w:tc>
        <w:tc>
          <w:tcPr>
            <w:tcW w:w="1995"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Résolutions</w:t>
            </w:r>
            <w:proofErr w:type="spellEnd"/>
            <w:r>
              <w:rPr>
                <w:rFonts w:ascii="Arial" w:eastAsia="Arial" w:hAnsi="Arial" w:cs="Arial"/>
                <w:sz w:val="22"/>
                <w:szCs w:val="22"/>
              </w:rPr>
              <w:t xml:space="preserve"> </w:t>
            </w:r>
            <w:proofErr w:type="spellStart"/>
            <w:r>
              <w:rPr>
                <w:rFonts w:ascii="Arial" w:eastAsia="Arial" w:hAnsi="Arial" w:cs="Arial"/>
                <w:sz w:val="22"/>
                <w:szCs w:val="22"/>
              </w:rPr>
              <w:t>spatio</w:t>
            </w:r>
            <w:proofErr w:type="spellEnd"/>
            <w:r>
              <w:rPr>
                <w:rFonts w:ascii="Arial" w:eastAsia="Arial" w:hAnsi="Arial" w:cs="Arial"/>
                <w:sz w:val="22"/>
                <w:szCs w:val="22"/>
              </w:rPr>
              <w:t>/</w:t>
            </w:r>
            <w:proofErr w:type="spellStart"/>
            <w:r>
              <w:rPr>
                <w:rFonts w:ascii="Arial" w:eastAsia="Arial" w:hAnsi="Arial" w:cs="Arial"/>
                <w:sz w:val="22"/>
                <w:szCs w:val="22"/>
              </w:rPr>
              <w:t>temporelle</w:t>
            </w:r>
            <w:proofErr w:type="spellEnd"/>
          </w:p>
        </w:tc>
        <w:tc>
          <w:tcPr>
            <w:tcW w:w="112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Période</w:t>
            </w:r>
            <w:proofErr w:type="spellEnd"/>
          </w:p>
        </w:tc>
        <w:tc>
          <w:tcPr>
            <w:tcW w:w="15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Format</w:t>
            </w:r>
          </w:p>
        </w:tc>
      </w:tr>
      <w:tr w:rsidR="00F26EEC">
        <w:tc>
          <w:tcPr>
            <w:tcW w:w="1340" w:type="dxa"/>
            <w:shd w:val="clear" w:color="auto" w:fill="auto"/>
            <w:tcMar>
              <w:top w:w="100" w:type="dxa"/>
              <w:left w:w="100" w:type="dxa"/>
              <w:bottom w:w="100" w:type="dxa"/>
              <w:right w:w="100" w:type="dxa"/>
            </w:tcMar>
          </w:tcPr>
          <w:p w:rsidR="00F26EEC" w:rsidRDefault="00DB5754">
            <w:pPr>
              <w:spacing w:line="276" w:lineRule="auto"/>
              <w:jc w:val="left"/>
              <w:rPr>
                <w:rFonts w:ascii="Arial" w:eastAsia="Arial" w:hAnsi="Arial" w:cs="Arial"/>
                <w:sz w:val="22"/>
                <w:szCs w:val="22"/>
              </w:rPr>
            </w:pPr>
            <w:r>
              <w:rPr>
                <w:rFonts w:ascii="Arial" w:eastAsia="Arial" w:hAnsi="Arial" w:cs="Arial"/>
                <w:sz w:val="22"/>
                <w:szCs w:val="22"/>
              </w:rPr>
              <w:t xml:space="preserve">Couverture du sol </w:t>
            </w:r>
            <w:proofErr w:type="spellStart"/>
            <w:r>
              <w:rPr>
                <w:rFonts w:ascii="Arial" w:eastAsia="Arial" w:hAnsi="Arial" w:cs="Arial"/>
                <w:sz w:val="22"/>
                <w:szCs w:val="22"/>
              </w:rPr>
              <w:t>globale</w:t>
            </w:r>
            <w:proofErr w:type="spellEnd"/>
          </w:p>
        </w:tc>
        <w:tc>
          <w:tcPr>
            <w:tcW w:w="1760" w:type="dxa"/>
            <w:shd w:val="clear" w:color="auto" w:fill="auto"/>
            <w:tcMar>
              <w:top w:w="100" w:type="dxa"/>
              <w:left w:w="100" w:type="dxa"/>
              <w:bottom w:w="100" w:type="dxa"/>
              <w:right w:w="100" w:type="dxa"/>
            </w:tcMar>
          </w:tcPr>
          <w:p w:rsidR="00F26EEC" w:rsidRDefault="00DB5754">
            <w:pPr>
              <w:spacing w:line="276" w:lineRule="auto"/>
              <w:jc w:val="left"/>
              <w:rPr>
                <w:rFonts w:ascii="Arial" w:eastAsia="Arial" w:hAnsi="Arial" w:cs="Arial"/>
                <w:sz w:val="22"/>
                <w:szCs w:val="22"/>
              </w:rPr>
            </w:pPr>
            <w:r>
              <w:rPr>
                <w:rFonts w:ascii="Arial" w:eastAsia="Arial" w:hAnsi="Arial" w:cs="Arial"/>
                <w:sz w:val="22"/>
                <w:szCs w:val="22"/>
              </w:rPr>
              <w:t>Land Cover Maps - v2.1.1</w:t>
            </w:r>
          </w:p>
        </w:tc>
        <w:tc>
          <w:tcPr>
            <w:tcW w:w="1740" w:type="dxa"/>
            <w:shd w:val="clear" w:color="auto" w:fill="auto"/>
            <w:tcMar>
              <w:top w:w="100" w:type="dxa"/>
              <w:left w:w="100" w:type="dxa"/>
              <w:bottom w:w="100" w:type="dxa"/>
              <w:right w:w="100" w:type="dxa"/>
            </w:tcMar>
          </w:tcPr>
          <w:p w:rsidR="00F26EEC" w:rsidRDefault="00DB5754">
            <w:pPr>
              <w:spacing w:line="240" w:lineRule="auto"/>
            </w:pPr>
            <w:r>
              <w:t>European Space Agency (ESA) Climate Change Initiative (CCI)</w:t>
            </w:r>
          </w:p>
        </w:tc>
        <w:tc>
          <w:tcPr>
            <w:tcW w:w="1995"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300m</w:t>
            </w:r>
          </w:p>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annuel</w:t>
            </w:r>
            <w:proofErr w:type="spellEnd"/>
          </w:p>
        </w:tc>
        <w:tc>
          <w:tcPr>
            <w:tcW w:w="112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2016</w:t>
            </w:r>
          </w:p>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2019</w:t>
            </w:r>
          </w:p>
        </w:tc>
        <w:tc>
          <w:tcPr>
            <w:tcW w:w="1540" w:type="dxa"/>
            <w:shd w:val="clear" w:color="auto" w:fill="auto"/>
            <w:tcMar>
              <w:top w:w="100" w:type="dxa"/>
              <w:left w:w="100" w:type="dxa"/>
              <w:bottom w:w="100" w:type="dxa"/>
              <w:right w:w="100" w:type="dxa"/>
            </w:tcMar>
          </w:tcPr>
          <w:p w:rsidR="00F26EEC" w:rsidRDefault="00DB5754">
            <w:pPr>
              <w:spacing w:line="276" w:lineRule="auto"/>
              <w:jc w:val="left"/>
              <w:rPr>
                <w:rFonts w:ascii="Arial" w:eastAsia="Arial" w:hAnsi="Arial" w:cs="Arial"/>
                <w:sz w:val="22"/>
                <w:szCs w:val="22"/>
              </w:rPr>
            </w:pPr>
            <w:proofErr w:type="spellStart"/>
            <w:r>
              <w:rPr>
                <w:rFonts w:ascii="Arial" w:eastAsia="Arial" w:hAnsi="Arial" w:cs="Arial"/>
                <w:sz w:val="22"/>
                <w:szCs w:val="22"/>
              </w:rPr>
              <w:t>netCDF</w:t>
            </w:r>
            <w:proofErr w:type="spellEnd"/>
          </w:p>
        </w:tc>
      </w:tr>
      <w:tr w:rsidR="00F26EEC">
        <w:trPr>
          <w:trHeight w:val="420"/>
        </w:trPr>
        <w:tc>
          <w:tcPr>
            <w:tcW w:w="1340" w:type="dxa"/>
            <w:shd w:val="clear" w:color="auto" w:fill="auto"/>
            <w:tcMar>
              <w:top w:w="100" w:type="dxa"/>
              <w:left w:w="100" w:type="dxa"/>
              <w:bottom w:w="100" w:type="dxa"/>
              <w:right w:w="100" w:type="dxa"/>
            </w:tcMar>
          </w:tcPr>
          <w:p w:rsidR="00F26EEC" w:rsidRDefault="00F26EEC">
            <w:pPr>
              <w:spacing w:line="276" w:lineRule="auto"/>
              <w:jc w:val="left"/>
              <w:rPr>
                <w:rFonts w:ascii="Arial" w:eastAsia="Arial" w:hAnsi="Arial" w:cs="Arial"/>
                <w:sz w:val="22"/>
                <w:szCs w:val="22"/>
              </w:rPr>
            </w:pPr>
          </w:p>
        </w:tc>
        <w:tc>
          <w:tcPr>
            <w:tcW w:w="8155" w:type="dxa"/>
            <w:gridSpan w:val="5"/>
            <w:shd w:val="clear" w:color="auto" w:fill="auto"/>
            <w:tcMar>
              <w:top w:w="100" w:type="dxa"/>
              <w:left w:w="100" w:type="dxa"/>
              <w:bottom w:w="100" w:type="dxa"/>
              <w:right w:w="100" w:type="dxa"/>
            </w:tcMar>
          </w:tcPr>
          <w:p w:rsidR="00F26EEC" w:rsidRDefault="00DB5754">
            <w:pPr>
              <w:spacing w:line="276" w:lineRule="auto"/>
              <w:jc w:val="left"/>
              <w:rPr>
                <w:rFonts w:ascii="Arial" w:eastAsia="Arial" w:hAnsi="Arial" w:cs="Arial"/>
                <w:sz w:val="22"/>
                <w:szCs w:val="22"/>
              </w:rPr>
            </w:pPr>
            <w:r>
              <w:rPr>
                <w:rFonts w:ascii="Arial" w:eastAsia="Arial" w:hAnsi="Arial" w:cs="Arial"/>
                <w:sz w:val="22"/>
                <w:szCs w:val="22"/>
              </w:rPr>
              <w:t xml:space="preserve">“Global land cover maps at 300 m spatial resolution, on an annual basis from 2016 to 2019, consistent with the series of global annual LC maps from 1992 to 2015 produced by the European Space Agency (ESA) Climate Change Initiative (CCI).” (elie.ucl.ac.be, </w:t>
            </w:r>
            <w:r>
              <w:rPr>
                <w:rFonts w:ascii="Arial" w:eastAsia="Arial" w:hAnsi="Arial" w:cs="Arial"/>
                <w:sz w:val="22"/>
                <w:szCs w:val="22"/>
              </w:rPr>
              <w:t>2021)</w:t>
            </w:r>
          </w:p>
        </w:tc>
      </w:tr>
      <w:tr w:rsidR="00F26EEC">
        <w:tc>
          <w:tcPr>
            <w:tcW w:w="13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Couverture du sol Canada</w:t>
            </w:r>
          </w:p>
        </w:tc>
        <w:tc>
          <w:tcPr>
            <w:tcW w:w="176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Land Cover for Agricultural Regions of Canada, circa 2000</w:t>
            </w:r>
          </w:p>
        </w:tc>
        <w:tc>
          <w:tcPr>
            <w:tcW w:w="17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Gouvernement</w:t>
            </w:r>
            <w:proofErr w:type="spellEnd"/>
            <w:r>
              <w:rPr>
                <w:rFonts w:ascii="Arial" w:eastAsia="Arial" w:hAnsi="Arial" w:cs="Arial"/>
                <w:sz w:val="22"/>
                <w:szCs w:val="22"/>
              </w:rPr>
              <w:t xml:space="preserve"> du Canada</w:t>
            </w:r>
          </w:p>
        </w:tc>
        <w:tc>
          <w:tcPr>
            <w:tcW w:w="1995"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30m</w:t>
            </w:r>
          </w:p>
        </w:tc>
        <w:tc>
          <w:tcPr>
            <w:tcW w:w="112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1996</w:t>
            </w:r>
          </w:p>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 xml:space="preserve">2005  </w:t>
            </w:r>
          </w:p>
          <w:p w:rsidR="00F26EEC" w:rsidRDefault="00F26EEC">
            <w:pPr>
              <w:widowControl w:val="0"/>
              <w:spacing w:line="240" w:lineRule="auto"/>
              <w:jc w:val="left"/>
              <w:rPr>
                <w:rFonts w:ascii="Arial" w:eastAsia="Arial" w:hAnsi="Arial" w:cs="Arial"/>
                <w:sz w:val="22"/>
                <w:szCs w:val="22"/>
              </w:rPr>
            </w:pPr>
          </w:p>
        </w:tc>
        <w:tc>
          <w:tcPr>
            <w:tcW w:w="15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geoTIF</w:t>
            </w:r>
            <w:proofErr w:type="spellEnd"/>
          </w:p>
        </w:tc>
      </w:tr>
      <w:tr w:rsidR="00F26EEC">
        <w:trPr>
          <w:trHeight w:val="420"/>
        </w:trPr>
        <w:tc>
          <w:tcPr>
            <w:tcW w:w="1340" w:type="dxa"/>
            <w:shd w:val="clear" w:color="auto" w:fill="auto"/>
            <w:tcMar>
              <w:top w:w="100" w:type="dxa"/>
              <w:left w:w="100" w:type="dxa"/>
              <w:bottom w:w="100" w:type="dxa"/>
              <w:right w:w="100" w:type="dxa"/>
            </w:tcMar>
          </w:tcPr>
          <w:p w:rsidR="00F26EEC" w:rsidRDefault="00F26EEC">
            <w:pPr>
              <w:widowControl w:val="0"/>
              <w:spacing w:line="240" w:lineRule="auto"/>
              <w:jc w:val="left"/>
              <w:rPr>
                <w:rFonts w:ascii="Arial" w:eastAsia="Arial" w:hAnsi="Arial" w:cs="Arial"/>
                <w:sz w:val="22"/>
                <w:szCs w:val="22"/>
              </w:rPr>
            </w:pPr>
          </w:p>
        </w:tc>
        <w:tc>
          <w:tcPr>
            <w:tcW w:w="8155" w:type="dxa"/>
            <w:gridSpan w:val="5"/>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“The “Land Cover for Agricultural Regions of Canada, circa 2000” is a thematic land cover classification representative of Circa 2000 conditions for agricultural regions of Canada. Land cover is derived from Landsat5-TM and/or 7-ETM+ multi-spectral imagery</w:t>
            </w:r>
            <w:r>
              <w:rPr>
                <w:rFonts w:ascii="Arial" w:eastAsia="Arial" w:hAnsi="Arial" w:cs="Arial"/>
                <w:sz w:val="22"/>
                <w:szCs w:val="22"/>
              </w:rPr>
              <w:t xml:space="preserve"> by inputting imagery and ground reference training data into a Decision-Tree or Supervised image classification process.”. (open.canada.ca, 2021)</w:t>
            </w:r>
          </w:p>
        </w:tc>
      </w:tr>
    </w:tbl>
    <w:p w:rsidR="00F26EEC" w:rsidRDefault="00F26EEC">
      <w:pPr>
        <w:spacing w:line="276" w:lineRule="auto"/>
        <w:jc w:val="left"/>
        <w:rPr>
          <w:rFonts w:ascii="Arial" w:eastAsia="Arial" w:hAnsi="Arial" w:cs="Arial"/>
          <w:sz w:val="22"/>
          <w:szCs w:val="22"/>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760"/>
        <w:gridCol w:w="1650"/>
        <w:gridCol w:w="2085"/>
        <w:gridCol w:w="1120"/>
        <w:gridCol w:w="1540"/>
      </w:tblGrid>
      <w:tr w:rsidR="00F26EEC">
        <w:tc>
          <w:tcPr>
            <w:tcW w:w="13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Humidité</w:t>
            </w:r>
            <w:proofErr w:type="spellEnd"/>
            <w:r>
              <w:rPr>
                <w:rFonts w:ascii="Arial" w:eastAsia="Arial" w:hAnsi="Arial" w:cs="Arial"/>
                <w:sz w:val="22"/>
                <w:szCs w:val="22"/>
              </w:rPr>
              <w:t xml:space="preserve"> du sol</w:t>
            </w:r>
          </w:p>
        </w:tc>
        <w:tc>
          <w:tcPr>
            <w:tcW w:w="176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 xml:space="preserve">Time series </w:t>
            </w:r>
          </w:p>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ESA CCI SM v05.2</w:t>
            </w:r>
          </w:p>
        </w:tc>
        <w:tc>
          <w:tcPr>
            <w:tcW w:w="165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 xml:space="preserve">ESA Programme on Global Monitoring of Essential </w:t>
            </w:r>
            <w:r>
              <w:rPr>
                <w:rFonts w:ascii="Arial" w:eastAsia="Arial" w:hAnsi="Arial" w:cs="Arial"/>
                <w:sz w:val="22"/>
                <w:szCs w:val="22"/>
              </w:rPr>
              <w:lastRenderedPageBreak/>
              <w:t>Climate Variables</w:t>
            </w:r>
          </w:p>
        </w:tc>
        <w:tc>
          <w:tcPr>
            <w:tcW w:w="2085"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lastRenderedPageBreak/>
              <w:t>0.25°</w:t>
            </w:r>
          </w:p>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journalier</w:t>
            </w:r>
            <w:proofErr w:type="spellEnd"/>
          </w:p>
        </w:tc>
        <w:tc>
          <w:tcPr>
            <w:tcW w:w="112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1978</w:t>
            </w:r>
          </w:p>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2019</w:t>
            </w:r>
          </w:p>
        </w:tc>
        <w:tc>
          <w:tcPr>
            <w:tcW w:w="1540" w:type="dxa"/>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proofErr w:type="spellStart"/>
            <w:r>
              <w:rPr>
                <w:rFonts w:ascii="Arial" w:eastAsia="Arial" w:hAnsi="Arial" w:cs="Arial"/>
                <w:sz w:val="22"/>
                <w:szCs w:val="22"/>
              </w:rPr>
              <w:t>netCDF</w:t>
            </w:r>
            <w:proofErr w:type="spellEnd"/>
          </w:p>
        </w:tc>
      </w:tr>
      <w:tr w:rsidR="00F26EEC">
        <w:trPr>
          <w:trHeight w:val="420"/>
        </w:trPr>
        <w:tc>
          <w:tcPr>
            <w:tcW w:w="1340" w:type="dxa"/>
            <w:shd w:val="clear" w:color="auto" w:fill="auto"/>
            <w:tcMar>
              <w:top w:w="100" w:type="dxa"/>
              <w:left w:w="100" w:type="dxa"/>
              <w:bottom w:w="100" w:type="dxa"/>
              <w:right w:w="100" w:type="dxa"/>
            </w:tcMar>
          </w:tcPr>
          <w:p w:rsidR="00F26EEC" w:rsidRDefault="00F26EEC">
            <w:pPr>
              <w:widowControl w:val="0"/>
              <w:spacing w:line="240" w:lineRule="auto"/>
              <w:jc w:val="left"/>
              <w:rPr>
                <w:rFonts w:ascii="Arial" w:eastAsia="Arial" w:hAnsi="Arial" w:cs="Arial"/>
                <w:sz w:val="22"/>
                <w:szCs w:val="22"/>
              </w:rPr>
            </w:pPr>
          </w:p>
        </w:tc>
        <w:tc>
          <w:tcPr>
            <w:tcW w:w="8155" w:type="dxa"/>
            <w:gridSpan w:val="5"/>
            <w:shd w:val="clear" w:color="auto" w:fill="auto"/>
            <w:tcMar>
              <w:top w:w="100" w:type="dxa"/>
              <w:left w:w="100" w:type="dxa"/>
              <w:bottom w:w="100" w:type="dxa"/>
              <w:right w:w="100" w:type="dxa"/>
            </w:tcMar>
          </w:tcPr>
          <w:p w:rsidR="00F26EEC" w:rsidRDefault="00DB5754">
            <w:pPr>
              <w:widowControl w:val="0"/>
              <w:spacing w:line="240" w:lineRule="auto"/>
              <w:jc w:val="left"/>
              <w:rPr>
                <w:rFonts w:ascii="Arial" w:eastAsia="Arial" w:hAnsi="Arial" w:cs="Arial"/>
                <w:sz w:val="22"/>
                <w:szCs w:val="22"/>
              </w:rPr>
            </w:pPr>
            <w:r>
              <w:rPr>
                <w:rFonts w:ascii="Arial" w:eastAsia="Arial" w:hAnsi="Arial" w:cs="Arial"/>
                <w:sz w:val="22"/>
                <w:szCs w:val="22"/>
              </w:rPr>
              <w:t xml:space="preserve">“The ESA CCI SM v05.2 product consists of three surface soil moisture data sets: The “ACTIVE Product” and the “PASSIVE Product” were created by fusing </w:t>
            </w:r>
            <w:proofErr w:type="spellStart"/>
            <w:r>
              <w:rPr>
                <w:rFonts w:ascii="Arial" w:eastAsia="Arial" w:hAnsi="Arial" w:cs="Arial"/>
                <w:sz w:val="22"/>
                <w:szCs w:val="22"/>
              </w:rPr>
              <w:t>sca</w:t>
            </w:r>
            <w:r>
              <w:rPr>
                <w:rFonts w:ascii="Arial" w:eastAsia="Arial" w:hAnsi="Arial" w:cs="Arial"/>
                <w:sz w:val="22"/>
                <w:szCs w:val="22"/>
              </w:rPr>
              <w:t>tterometer</w:t>
            </w:r>
            <w:proofErr w:type="spellEnd"/>
            <w:r>
              <w:rPr>
                <w:rFonts w:ascii="Arial" w:eastAsia="Arial" w:hAnsi="Arial" w:cs="Arial"/>
                <w:sz w:val="22"/>
                <w:szCs w:val="22"/>
              </w:rPr>
              <w:t xml:space="preserve"> and radiometer soil moisture products, respectively; The “COMBINED Product” is a blended product based on the former two data sets. Data files </w:t>
            </w:r>
            <w:proofErr w:type="gramStart"/>
            <w:r>
              <w:rPr>
                <w:rFonts w:ascii="Arial" w:eastAsia="Arial" w:hAnsi="Arial" w:cs="Arial"/>
                <w:sz w:val="22"/>
                <w:szCs w:val="22"/>
              </w:rPr>
              <w:t>are provided</w:t>
            </w:r>
            <w:proofErr w:type="gramEnd"/>
            <w:r>
              <w:rPr>
                <w:rFonts w:ascii="Arial" w:eastAsia="Arial" w:hAnsi="Arial" w:cs="Arial"/>
                <w:sz w:val="22"/>
                <w:szCs w:val="22"/>
              </w:rPr>
              <w:t xml:space="preserve"> as NetCDF-4 classic format and comprise global merged surface soil moisture datasets at d</w:t>
            </w:r>
            <w:r>
              <w:rPr>
                <w:rFonts w:ascii="Arial" w:eastAsia="Arial" w:hAnsi="Arial" w:cs="Arial"/>
                <w:sz w:val="22"/>
                <w:szCs w:val="22"/>
              </w:rPr>
              <w:t>aily temporal resolution. The data set spans over 40 years covering the period from November 1978 to December 31st 2019.” (esa-soilmoisture-cci.org, 2021)</w:t>
            </w:r>
          </w:p>
        </w:tc>
      </w:tr>
    </w:tbl>
    <w:p w:rsidR="00F26EEC" w:rsidRDefault="00DB5754">
      <w:pPr>
        <w:pStyle w:val="Heading2"/>
      </w:pPr>
      <w:bookmarkStart w:id="5" w:name="_Toc65102443"/>
      <w:r>
        <w:t xml:space="preserve">Zone </w:t>
      </w:r>
      <w:proofErr w:type="spellStart"/>
      <w:r>
        <w:t>d’étude</w:t>
      </w:r>
      <w:bookmarkEnd w:id="5"/>
      <w:proofErr w:type="spellEnd"/>
    </w:p>
    <w:p w:rsidR="00F26EEC" w:rsidRPr="00A47BC6" w:rsidRDefault="00DB5754">
      <w:pPr>
        <w:rPr>
          <w:lang w:val="fr-FR"/>
        </w:rPr>
      </w:pPr>
      <w:r w:rsidRPr="00A47BC6">
        <w:rPr>
          <w:lang w:val="fr-FR"/>
        </w:rPr>
        <w:t xml:space="preserve">La zone d’étude est le Canada. </w:t>
      </w:r>
    </w:p>
    <w:p w:rsidR="00F26EEC" w:rsidRPr="00A47BC6" w:rsidRDefault="00DB5754">
      <w:pPr>
        <w:pStyle w:val="Heading2"/>
        <w:rPr>
          <w:lang w:val="fr-FR"/>
        </w:rPr>
      </w:pPr>
      <w:bookmarkStart w:id="6" w:name="_Toc65102444"/>
      <w:r w:rsidRPr="00A47BC6">
        <w:rPr>
          <w:lang w:val="fr-FR"/>
        </w:rPr>
        <w:t>Période de l’étude</w:t>
      </w:r>
      <w:bookmarkEnd w:id="6"/>
    </w:p>
    <w:p w:rsidR="00F26EEC" w:rsidRPr="00A47BC6" w:rsidRDefault="00DB5754">
      <w:pPr>
        <w:rPr>
          <w:lang w:val="fr-FR"/>
        </w:rPr>
      </w:pPr>
      <w:r w:rsidRPr="00A47BC6">
        <w:rPr>
          <w:lang w:val="fr-FR"/>
        </w:rPr>
        <w:t>Entre 1978 et 2019.</w:t>
      </w:r>
    </w:p>
    <w:p w:rsidR="00F26EEC" w:rsidRPr="00A47BC6" w:rsidRDefault="00DB5754">
      <w:pPr>
        <w:pStyle w:val="Heading2"/>
        <w:rPr>
          <w:lang w:val="fr-FR"/>
        </w:rPr>
      </w:pPr>
      <w:bookmarkStart w:id="7" w:name="_Toc65102445"/>
      <w:r w:rsidRPr="00A47BC6">
        <w:rPr>
          <w:lang w:val="fr-FR"/>
        </w:rPr>
        <w:t>Méthodologie</w:t>
      </w:r>
      <w:bookmarkEnd w:id="7"/>
    </w:p>
    <w:p w:rsidR="00F26EEC" w:rsidRPr="00A47BC6" w:rsidRDefault="00DB5754">
      <w:pPr>
        <w:rPr>
          <w:lang w:val="fr-FR"/>
        </w:rPr>
      </w:pPr>
      <w:r w:rsidRPr="00A47BC6">
        <w:rPr>
          <w:lang w:val="fr-FR"/>
        </w:rPr>
        <w:t xml:space="preserve">Nous voulons étudier l'évolution de la donnée "humidité du sol" pour les sols agricoles du Canada entre 1978 et 2019. </w:t>
      </w:r>
    </w:p>
    <w:p w:rsidR="00F26EEC" w:rsidRPr="00A47BC6" w:rsidRDefault="00DB5754">
      <w:pPr>
        <w:rPr>
          <w:lang w:val="fr-FR"/>
        </w:rPr>
      </w:pPr>
      <w:r w:rsidRPr="00A47BC6">
        <w:rPr>
          <w:lang w:val="fr-FR"/>
        </w:rPr>
        <w:t xml:space="preserve">Les diagrammes méthodologiques ci-dessous résument les étapes. </w:t>
      </w:r>
    </w:p>
    <w:p w:rsidR="00F26EEC" w:rsidRDefault="00DB5754">
      <w:r>
        <w:rPr>
          <w:noProof/>
        </w:rPr>
        <w:lastRenderedPageBreak/>
        <w:drawing>
          <wp:inline distT="114300" distB="114300" distL="114300" distR="114300">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rsidR="00F26EEC" w:rsidRPr="00A47BC6" w:rsidRDefault="00DB5754">
      <w:pPr>
        <w:rPr>
          <w:lang w:val="fr-FR"/>
        </w:rPr>
      </w:pPr>
      <w:r w:rsidRPr="00A47BC6">
        <w:rPr>
          <w:lang w:val="fr-FR"/>
        </w:rPr>
        <w:t xml:space="preserve">Figure 1: Méthodologie de l’étude, la préparation. </w:t>
      </w:r>
    </w:p>
    <w:p w:rsidR="00F26EEC" w:rsidRDefault="00DB5754">
      <w:r>
        <w:rPr>
          <w:noProof/>
        </w:rPr>
        <w:lastRenderedPageBreak/>
        <w:drawing>
          <wp:inline distT="114300" distB="114300" distL="114300" distR="114300">
            <wp:extent cx="5943600" cy="563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638800"/>
                    </a:xfrm>
                    <a:prstGeom prst="rect">
                      <a:avLst/>
                    </a:prstGeom>
                    <a:ln/>
                  </pic:spPr>
                </pic:pic>
              </a:graphicData>
            </a:graphic>
          </wp:inline>
        </w:drawing>
      </w:r>
    </w:p>
    <w:p w:rsidR="00F26EEC" w:rsidRPr="00A47BC6" w:rsidRDefault="00DB5754">
      <w:pPr>
        <w:rPr>
          <w:lang w:val="fr-FR"/>
        </w:rPr>
      </w:pPr>
      <w:r w:rsidRPr="00A47BC6">
        <w:rPr>
          <w:lang w:val="fr-FR"/>
        </w:rPr>
        <w:t xml:space="preserve">Figure 2: Méthodologie de l’étude, l’analyse et les résultats. </w:t>
      </w:r>
    </w:p>
    <w:p w:rsidR="00F26EEC" w:rsidRPr="00A47BC6" w:rsidRDefault="00F26EEC">
      <w:pPr>
        <w:rPr>
          <w:lang w:val="fr-FR"/>
        </w:rPr>
      </w:pPr>
    </w:p>
    <w:p w:rsidR="00F26EEC" w:rsidRPr="00A47BC6" w:rsidRDefault="00DB5754">
      <w:pPr>
        <w:rPr>
          <w:lang w:val="fr-FR"/>
        </w:rPr>
      </w:pPr>
      <w:r w:rsidRPr="00A47BC6">
        <w:rPr>
          <w:lang w:val="fr-FR"/>
        </w:rPr>
        <w:t>À la suite de la revue de la littérature, les premières étapes sont de collecter toutes les données nécessaires et les explorer afin de valider entre autres choses les différents formats, var</w:t>
      </w:r>
      <w:r w:rsidRPr="00A47BC6">
        <w:rPr>
          <w:lang w:val="fr-FR"/>
        </w:rPr>
        <w:t>iables</w:t>
      </w:r>
      <w:r w:rsidR="00A47BC6">
        <w:rPr>
          <w:lang w:val="fr-FR"/>
        </w:rPr>
        <w:t>,</w:t>
      </w:r>
      <w:r w:rsidRPr="00A47BC6">
        <w:rPr>
          <w:lang w:val="fr-FR"/>
        </w:rPr>
        <w:t xml:space="preserve"> et leur intégrité. Cette étape se déroule en parcourant la documentation fournie avec les données, dans le SIG QGIS, et Python au besoin. L’étape suivante est de sélectionner les données correspondantes à la zone d’étude (le Canada). Si le temps le </w:t>
      </w:r>
      <w:r w:rsidRPr="00A47BC6">
        <w:rPr>
          <w:lang w:val="fr-FR"/>
        </w:rPr>
        <w:t>permet, les données seront sélectionnées pour les sols agricoles qui n’ont pas évolué durant la période d'étude (nouveau, disparu, changement de type de sol). Cela permettrait d’avoir une base de travail consistante pour l’analyse sur l’ensemble de la séri</w:t>
      </w:r>
      <w:r w:rsidRPr="00A47BC6">
        <w:rPr>
          <w:lang w:val="fr-FR"/>
        </w:rPr>
        <w:t xml:space="preserve">e temporelle. Le SIG QGIS permettrait de réaliser cette étape, </w:t>
      </w:r>
      <w:r w:rsidRPr="00A47BC6">
        <w:rPr>
          <w:lang w:val="fr-FR"/>
        </w:rPr>
        <w:lastRenderedPageBreak/>
        <w:t xml:space="preserve">qui consisterait à superposer les représentations des sols agricoles des différentes années et sélectionner ceux qui sont restés stables et consistants durant toute la période de l’étude, pour </w:t>
      </w:r>
      <w:r w:rsidRPr="00A47BC6">
        <w:rPr>
          <w:lang w:val="fr-FR"/>
        </w:rPr>
        <w:t xml:space="preserve">enfin créer un masque au format raster et filtrer la donnée “humidité du sol” de la série temporelle. </w:t>
      </w:r>
    </w:p>
    <w:p w:rsidR="00F26EEC" w:rsidRPr="00A47BC6" w:rsidRDefault="00DB5754">
      <w:pPr>
        <w:rPr>
          <w:lang w:val="fr-FR"/>
        </w:rPr>
      </w:pPr>
      <w:r w:rsidRPr="00A47BC6">
        <w:rPr>
          <w:lang w:val="fr-FR"/>
        </w:rPr>
        <w:t>Les prochaines étapes sont d'étudier la donnée d’étude “humidité du sol” sur l'ensemble de la période d’analyse (1978 et 2019) grâce à MATLAB, Python, et</w:t>
      </w:r>
      <w:r w:rsidRPr="00A47BC6">
        <w:rPr>
          <w:lang w:val="fr-FR"/>
        </w:rPr>
        <w:t xml:space="preserve"> le SIG QGIS. L'objectif est de faire ressortir les anomalies, comme les données manquantes, les valeurs nulles, les extrêmes (“</w:t>
      </w:r>
      <w:proofErr w:type="spellStart"/>
      <w:r w:rsidRPr="00A47BC6">
        <w:rPr>
          <w:lang w:val="fr-FR"/>
        </w:rPr>
        <w:t>outliers</w:t>
      </w:r>
      <w:proofErr w:type="spellEnd"/>
      <w:r w:rsidRPr="00A47BC6">
        <w:rPr>
          <w:lang w:val="fr-FR"/>
        </w:rPr>
        <w:t xml:space="preserve">”), mais surtout les types de distribution dans l'espace pour un même </w:t>
      </w:r>
      <w:proofErr w:type="spellStart"/>
      <w:r w:rsidRPr="00A47BC6">
        <w:rPr>
          <w:lang w:val="fr-FR"/>
        </w:rPr>
        <w:t>interval</w:t>
      </w:r>
      <w:proofErr w:type="spellEnd"/>
      <w:r w:rsidRPr="00A47BC6">
        <w:rPr>
          <w:lang w:val="fr-FR"/>
        </w:rPr>
        <w:t xml:space="preserve"> de temps (regroupement, dispersé, annuel,</w:t>
      </w:r>
      <w:r w:rsidRPr="00A47BC6">
        <w:rPr>
          <w:lang w:val="fr-FR"/>
        </w:rPr>
        <w:t xml:space="preserve"> saisonnier, intra et </w:t>
      </w:r>
      <w:proofErr w:type="spellStart"/>
      <w:r w:rsidRPr="00A47BC6">
        <w:rPr>
          <w:lang w:val="fr-FR"/>
        </w:rPr>
        <w:t>inter</w:t>
      </w:r>
      <w:r w:rsidRPr="00A47BC6">
        <w:rPr>
          <w:lang w:val="fr-FR"/>
        </w:rPr>
        <w:t>saisonnier</w:t>
      </w:r>
      <w:proofErr w:type="spellEnd"/>
      <w:r w:rsidRPr="00A47BC6">
        <w:rPr>
          <w:lang w:val="fr-FR"/>
        </w:rPr>
        <w:t>). L’étape ultime est de construire une collection d’échantillons de la donnée “humidité du sol” qui se ressemble dans l’espace et dans le temps, c’est</w:t>
      </w:r>
      <w:r w:rsidR="00A47BC6">
        <w:rPr>
          <w:lang w:val="fr-FR"/>
        </w:rPr>
        <w:t>-à-</w:t>
      </w:r>
      <w:r w:rsidRPr="00A47BC6">
        <w:rPr>
          <w:lang w:val="fr-FR"/>
        </w:rPr>
        <w:t>dire regroupées spatialement (sélection spatiale dans QGIS) dans</w:t>
      </w:r>
      <w:r w:rsidRPr="00A47BC6">
        <w:rPr>
          <w:lang w:val="fr-FR"/>
        </w:rPr>
        <w:t xml:space="preserve"> un même </w:t>
      </w:r>
      <w:proofErr w:type="spellStart"/>
      <w:r w:rsidRPr="00A47BC6">
        <w:rPr>
          <w:lang w:val="fr-FR"/>
        </w:rPr>
        <w:t>interval</w:t>
      </w:r>
      <w:proofErr w:type="spellEnd"/>
      <w:r w:rsidRPr="00A47BC6">
        <w:rPr>
          <w:lang w:val="fr-FR"/>
        </w:rPr>
        <w:t xml:space="preserve"> de temps (nombre de jours consécutifs) et récurrent (périodique, par exemple annuellement). Les données de l'humidité du sol de ces échantillons seront représentées dans un graphique grâce aux logiciels MATLAB et/ou Python, de type “ligne</w:t>
      </w:r>
      <w:r w:rsidRPr="00A47BC6">
        <w:rPr>
          <w:lang w:val="fr-FR"/>
        </w:rPr>
        <w:t xml:space="preserve">s et points”, pour chacun des jours de la période d'étude, incluant la moyenne, le minimum et le maximum. Cela permettra de visualiser les anomalies du jeu à travers les années, comme les déviations dans les taux d'humidité et les décalages temporels. </w:t>
      </w:r>
    </w:p>
    <w:p w:rsidR="00F26EEC" w:rsidRPr="00A47BC6" w:rsidRDefault="00DB5754">
      <w:pPr>
        <w:rPr>
          <w:lang w:val="fr-FR"/>
        </w:rPr>
      </w:pPr>
      <w:r w:rsidRPr="00A47BC6">
        <w:rPr>
          <w:lang w:val="fr-FR"/>
        </w:rPr>
        <w:t xml:space="preserve">La </w:t>
      </w:r>
      <w:r w:rsidRPr="00A47BC6">
        <w:rPr>
          <w:lang w:val="fr-FR"/>
        </w:rPr>
        <w:t xml:space="preserve">tendance de chaque point de chaque regroupement (échantillons </w:t>
      </w:r>
      <w:proofErr w:type="gramStart"/>
      <w:r w:rsidRPr="00A47BC6">
        <w:rPr>
          <w:lang w:val="fr-FR"/>
        </w:rPr>
        <w:t>différents)  pourra</w:t>
      </w:r>
      <w:proofErr w:type="gramEnd"/>
      <w:r w:rsidRPr="00A47BC6">
        <w:rPr>
          <w:lang w:val="fr-FR"/>
        </w:rPr>
        <w:t xml:space="preserve"> ensuite être évaluée dans le temps (croissance, décroissance, stabilité) et représentée </w:t>
      </w:r>
      <w:proofErr w:type="spellStart"/>
      <w:r w:rsidRPr="00A47BC6">
        <w:rPr>
          <w:lang w:val="fr-FR"/>
        </w:rPr>
        <w:t>cartographiquement</w:t>
      </w:r>
      <w:proofErr w:type="spellEnd"/>
      <w:r w:rsidRPr="00A47BC6">
        <w:rPr>
          <w:lang w:val="fr-FR"/>
        </w:rPr>
        <w:t xml:space="preserve">. Un modèle de calcul de type empirique probabiliste dynamique sera </w:t>
      </w:r>
      <w:r w:rsidRPr="00A47BC6">
        <w:rPr>
          <w:lang w:val="fr-FR"/>
        </w:rPr>
        <w:t xml:space="preserve">utilisé, tel qu’une régression linéaire simple du type   </w:t>
      </w:r>
      <w:proofErr w:type="spellStart"/>
      <w:r w:rsidRPr="00A47BC6">
        <w:rPr>
          <w:lang w:val="fr-FR"/>
        </w:rPr>
        <w:t>H</w:t>
      </w:r>
      <w:r w:rsidRPr="00A47BC6">
        <w:rPr>
          <w:vertAlign w:val="subscript"/>
          <w:lang w:val="fr-FR"/>
        </w:rPr>
        <w:t>t</w:t>
      </w:r>
      <w:proofErr w:type="spellEnd"/>
      <w:r w:rsidRPr="00A47BC6">
        <w:rPr>
          <w:vertAlign w:val="subscript"/>
          <w:lang w:val="fr-FR"/>
        </w:rPr>
        <w:t>=1</w:t>
      </w:r>
      <w:r w:rsidRPr="00A47BC6">
        <w:rPr>
          <w:lang w:val="fr-FR"/>
        </w:rPr>
        <w:t>=N</w:t>
      </w:r>
      <w:r w:rsidRPr="00A47BC6">
        <w:rPr>
          <w:vertAlign w:val="subscript"/>
          <w:lang w:val="fr-FR"/>
        </w:rPr>
        <w:t>0</w:t>
      </w:r>
      <w:r w:rsidRPr="00A47BC6">
        <w:rPr>
          <w:lang w:val="fr-FR"/>
        </w:rPr>
        <w:t xml:space="preserve"> + </w:t>
      </w:r>
      <w:proofErr w:type="spellStart"/>
      <w:proofErr w:type="gramStart"/>
      <w:r w:rsidRPr="00A47BC6">
        <w:rPr>
          <w:lang w:val="fr-FR"/>
        </w:rPr>
        <w:t>b.H</w:t>
      </w:r>
      <w:r w:rsidRPr="00A47BC6">
        <w:rPr>
          <w:vertAlign w:val="subscript"/>
          <w:lang w:val="fr-FR"/>
        </w:rPr>
        <w:t>t</w:t>
      </w:r>
      <w:proofErr w:type="spellEnd"/>
      <w:proofErr w:type="gramEnd"/>
      <w:r w:rsidRPr="00A47BC6">
        <w:rPr>
          <w:vertAlign w:val="subscript"/>
          <w:lang w:val="fr-FR"/>
        </w:rPr>
        <w:t xml:space="preserve">  </w:t>
      </w:r>
      <w:r w:rsidRPr="00A47BC6">
        <w:rPr>
          <w:lang w:val="fr-FR"/>
        </w:rPr>
        <w:t>, avec la variable “humidité du sol” ‘H’ comme variable dépendante en fonction du temp</w:t>
      </w:r>
      <w:r w:rsidR="00A47BC6">
        <w:rPr>
          <w:lang w:val="fr-FR"/>
        </w:rPr>
        <w:t xml:space="preserve">s </w:t>
      </w:r>
      <w:r w:rsidRPr="00A47BC6">
        <w:rPr>
          <w:lang w:val="fr-FR"/>
        </w:rPr>
        <w:t xml:space="preserve">‘t’. </w:t>
      </w:r>
    </w:p>
    <w:p w:rsidR="00F26EEC" w:rsidRPr="00A47BC6" w:rsidRDefault="00DB5754">
      <w:pPr>
        <w:pStyle w:val="Heading1"/>
        <w:rPr>
          <w:lang w:val="fr-FR"/>
        </w:rPr>
      </w:pPr>
      <w:bookmarkStart w:id="8" w:name="_Toc65102446"/>
      <w:r w:rsidRPr="00A47BC6">
        <w:rPr>
          <w:lang w:val="fr-FR"/>
        </w:rPr>
        <w:t>Les résultats attendus (1/2 page à 1 page)</w:t>
      </w:r>
      <w:bookmarkEnd w:id="8"/>
      <w:r w:rsidRPr="00A47BC6">
        <w:rPr>
          <w:lang w:val="fr-FR"/>
        </w:rPr>
        <w:t xml:space="preserve">  </w:t>
      </w:r>
    </w:p>
    <w:p w:rsidR="00F26EEC" w:rsidRPr="00A47BC6" w:rsidRDefault="00DB5754">
      <w:pPr>
        <w:rPr>
          <w:i/>
          <w:lang w:val="fr-FR"/>
        </w:rPr>
      </w:pPr>
      <w:r w:rsidRPr="00A47BC6">
        <w:rPr>
          <w:i/>
          <w:lang w:val="fr-FR"/>
        </w:rPr>
        <w:t>Comment vos résultats seront présentés</w:t>
      </w:r>
    </w:p>
    <w:p w:rsidR="00F26EEC" w:rsidRPr="00A47BC6" w:rsidRDefault="00DB5754">
      <w:pPr>
        <w:rPr>
          <w:i/>
          <w:lang w:val="fr-FR"/>
        </w:rPr>
      </w:pPr>
      <w:r w:rsidRPr="00A47BC6">
        <w:rPr>
          <w:i/>
          <w:lang w:val="fr-FR"/>
        </w:rPr>
        <w:t>Qu’att</w:t>
      </w:r>
      <w:r w:rsidRPr="00A47BC6">
        <w:rPr>
          <w:i/>
          <w:lang w:val="fr-FR"/>
        </w:rPr>
        <w:t>endez-vous comme impact</w:t>
      </w:r>
    </w:p>
    <w:p w:rsidR="00F26EEC" w:rsidRPr="00A47BC6" w:rsidRDefault="00DB5754">
      <w:pPr>
        <w:rPr>
          <w:lang w:val="fr-FR"/>
        </w:rPr>
      </w:pPr>
      <w:r w:rsidRPr="00A47BC6">
        <w:rPr>
          <w:lang w:val="fr-FR"/>
        </w:rPr>
        <w:t xml:space="preserve">Il y a deux types de représentation des résultats qui sera utilisée: les graphiques, de type lignes et points. Et la représentation cartographique. </w:t>
      </w:r>
    </w:p>
    <w:p w:rsidR="00F26EEC" w:rsidRPr="00A47BC6" w:rsidRDefault="00DB5754">
      <w:pPr>
        <w:rPr>
          <w:lang w:val="fr-FR"/>
        </w:rPr>
      </w:pPr>
      <w:r w:rsidRPr="00A47BC6">
        <w:rPr>
          <w:lang w:val="fr-FR"/>
        </w:rPr>
        <w:t xml:space="preserve">Les points de la variable “humidité du sol” seront représentés par années, saison, inter et </w:t>
      </w:r>
      <w:proofErr w:type="spellStart"/>
      <w:r w:rsidRPr="00A47BC6">
        <w:rPr>
          <w:lang w:val="fr-FR"/>
        </w:rPr>
        <w:t>intra</w:t>
      </w:r>
      <w:r w:rsidRPr="00A47BC6">
        <w:rPr>
          <w:lang w:val="fr-FR"/>
        </w:rPr>
        <w:t>saisonnier</w:t>
      </w:r>
      <w:proofErr w:type="spellEnd"/>
      <w:r w:rsidRPr="00A47BC6">
        <w:rPr>
          <w:lang w:val="fr-FR"/>
        </w:rPr>
        <w:t xml:space="preserve"> dans des graphiques (“plot”). La moyenne, le minimum, le maximum et l’écart type </w:t>
      </w:r>
      <w:r w:rsidRPr="00A47BC6">
        <w:rPr>
          <w:lang w:val="fr-FR"/>
        </w:rPr>
        <w:lastRenderedPageBreak/>
        <w:t>seront représentés. Cela permettra de visuellement observer les ép</w:t>
      </w:r>
      <w:r w:rsidRPr="00A47BC6">
        <w:rPr>
          <w:lang w:val="fr-FR"/>
        </w:rPr>
        <w:t>isodes de s</w:t>
      </w:r>
      <w:r w:rsidR="00A47BC6">
        <w:rPr>
          <w:lang w:val="fr-FR"/>
        </w:rPr>
        <w:t>è</w:t>
      </w:r>
      <w:r w:rsidRPr="00A47BC6">
        <w:rPr>
          <w:lang w:val="fr-FR"/>
        </w:rPr>
        <w:t xml:space="preserve">cheresses majeures et intenses, les tendances (hausse, baisse, stabilité, variée) et leur degré (fort, faible, moyen). </w:t>
      </w:r>
    </w:p>
    <w:p w:rsidR="00F26EEC" w:rsidRPr="00A47BC6" w:rsidRDefault="00DB5754">
      <w:pPr>
        <w:rPr>
          <w:lang w:val="fr-FR"/>
        </w:rPr>
      </w:pPr>
      <w:r w:rsidRPr="00A47BC6">
        <w:rPr>
          <w:lang w:val="fr-FR"/>
        </w:rPr>
        <w:t>Une fonction statistique sera utilisée pour estimer la direction et la magnitude de l’évolution (coefficient de déterminatio</w:t>
      </w:r>
      <w:r w:rsidRPr="00A47BC6">
        <w:rPr>
          <w:lang w:val="fr-FR"/>
        </w:rPr>
        <w:t>n R</w:t>
      </w:r>
      <w:r w:rsidRPr="00A47BC6">
        <w:rPr>
          <w:vertAlign w:val="superscript"/>
          <w:lang w:val="fr-FR"/>
        </w:rPr>
        <w:t>2</w:t>
      </w:r>
      <w:r w:rsidRPr="00A47BC6">
        <w:rPr>
          <w:lang w:val="fr-FR"/>
        </w:rPr>
        <w:t xml:space="preserve">). </w:t>
      </w:r>
    </w:p>
    <w:p w:rsidR="00F26EEC" w:rsidRPr="00A47BC6" w:rsidRDefault="00DB5754">
      <w:pPr>
        <w:rPr>
          <w:lang w:val="fr-FR"/>
        </w:rPr>
      </w:pPr>
      <w:r w:rsidRPr="00A47BC6">
        <w:rPr>
          <w:lang w:val="fr-FR"/>
        </w:rPr>
        <w:t>Les regroupements spatiaux de la donnée “humidité du sol” seront représentés sur une carte afin de faire appara</w:t>
      </w:r>
      <w:r w:rsidR="00A47BC6">
        <w:rPr>
          <w:lang w:val="fr-FR"/>
        </w:rPr>
        <w:t>i</w:t>
      </w:r>
      <w:r w:rsidRPr="00A47BC6">
        <w:rPr>
          <w:lang w:val="fr-FR"/>
        </w:rPr>
        <w:t>tre les emplacements les plus sensibles à la s</w:t>
      </w:r>
      <w:r w:rsidR="00A47BC6">
        <w:rPr>
          <w:lang w:val="fr-FR"/>
        </w:rPr>
        <w:t>è</w:t>
      </w:r>
      <w:r w:rsidRPr="00A47BC6">
        <w:rPr>
          <w:lang w:val="fr-FR"/>
        </w:rPr>
        <w:t>cheresse, c’est</w:t>
      </w:r>
      <w:r w:rsidR="00A47BC6">
        <w:rPr>
          <w:lang w:val="fr-FR"/>
        </w:rPr>
        <w:t>-à-</w:t>
      </w:r>
      <w:r w:rsidRPr="00A47BC6">
        <w:rPr>
          <w:lang w:val="fr-FR"/>
        </w:rPr>
        <w:t>dire ceux qui ont connu</w:t>
      </w:r>
      <w:r w:rsidRPr="00A47BC6">
        <w:rPr>
          <w:lang w:val="fr-FR"/>
        </w:rPr>
        <w:t xml:space="preserve"> des épisodes de s</w:t>
      </w:r>
      <w:r w:rsidR="00A47BC6">
        <w:rPr>
          <w:lang w:val="fr-FR"/>
        </w:rPr>
        <w:t>è</w:t>
      </w:r>
      <w:r w:rsidRPr="00A47BC6">
        <w:rPr>
          <w:lang w:val="fr-FR"/>
        </w:rPr>
        <w:t>cheresses répétés et sévères</w:t>
      </w:r>
      <w:r w:rsidRPr="00A47BC6">
        <w:rPr>
          <w:lang w:val="fr-FR"/>
        </w:rPr>
        <w:t xml:space="preserve"> lors de la période d’étude, et qui sont dans une tendance à risque. </w:t>
      </w:r>
    </w:p>
    <w:p w:rsidR="00F26EEC" w:rsidRPr="00A47BC6" w:rsidRDefault="00DB5754">
      <w:pPr>
        <w:rPr>
          <w:lang w:val="fr-FR"/>
        </w:rPr>
      </w:pPr>
      <w:r w:rsidRPr="00A47BC6">
        <w:rPr>
          <w:lang w:val="fr-FR"/>
        </w:rPr>
        <w:t xml:space="preserve">Les résultats attendus sont de vérifier les deux hypothèses suivantes:  </w:t>
      </w:r>
    </w:p>
    <w:p w:rsidR="00F26EEC" w:rsidRPr="00A47BC6" w:rsidRDefault="00DB5754">
      <w:pPr>
        <w:numPr>
          <w:ilvl w:val="0"/>
          <w:numId w:val="2"/>
        </w:numPr>
        <w:rPr>
          <w:lang w:val="fr-FR"/>
        </w:rPr>
      </w:pPr>
      <w:r w:rsidRPr="00A47BC6">
        <w:rPr>
          <w:lang w:val="fr-FR"/>
        </w:rPr>
        <w:t>Des périodes de sècheresse plus fréquentes, plus longues et plus sévères se produiront en raison de la hausse con</w:t>
      </w:r>
      <w:r w:rsidRPr="00A47BC6">
        <w:rPr>
          <w:lang w:val="fr-FR"/>
        </w:rPr>
        <w:t>tinuelle des températures dans le futur proche (30 ans).</w:t>
      </w:r>
    </w:p>
    <w:p w:rsidR="00F26EEC" w:rsidRPr="00A47BC6" w:rsidRDefault="00DB5754">
      <w:pPr>
        <w:numPr>
          <w:ilvl w:val="0"/>
          <w:numId w:val="2"/>
        </w:numPr>
        <w:rPr>
          <w:lang w:val="fr-FR"/>
        </w:rPr>
      </w:pPr>
      <w:r w:rsidRPr="00A47BC6">
        <w:rPr>
          <w:lang w:val="fr-FR"/>
        </w:rPr>
        <w:t>Les périodes de sècheresse intense</w:t>
      </w:r>
      <w:r w:rsidR="00A47BC6">
        <w:rPr>
          <w:lang w:val="fr-FR"/>
        </w:rPr>
        <w:t>s</w:t>
      </w:r>
      <w:r w:rsidRPr="00A47BC6">
        <w:rPr>
          <w:lang w:val="fr-FR"/>
        </w:rPr>
        <w:t xml:space="preserve"> affecteront les régions climatiques déjà propices et historiquement touchées.</w:t>
      </w:r>
    </w:p>
    <w:p w:rsidR="00F26EEC" w:rsidRPr="00A47BC6" w:rsidRDefault="00DB5754">
      <w:pPr>
        <w:pStyle w:val="Heading1"/>
        <w:rPr>
          <w:lang w:val="fr-FR"/>
        </w:rPr>
      </w:pPr>
      <w:bookmarkStart w:id="9" w:name="_Toc65102447"/>
      <w:r w:rsidRPr="00A47BC6">
        <w:rPr>
          <w:lang w:val="fr-FR"/>
        </w:rPr>
        <w:t>Budget (1/2 page)</w:t>
      </w:r>
      <w:bookmarkEnd w:id="9"/>
      <w:r w:rsidRPr="00A47BC6">
        <w:rPr>
          <w:lang w:val="fr-FR"/>
        </w:rPr>
        <w:t xml:space="preserve">  </w:t>
      </w:r>
    </w:p>
    <w:p w:rsidR="00F26EEC" w:rsidRPr="00A47BC6" w:rsidRDefault="00DB5754">
      <w:pPr>
        <w:rPr>
          <w:i/>
          <w:lang w:val="fr-FR"/>
        </w:rPr>
      </w:pPr>
      <w:r w:rsidRPr="00A47BC6">
        <w:rPr>
          <w:i/>
          <w:lang w:val="fr-FR"/>
        </w:rPr>
        <w:t>Supposé que vous deviez acheter tout le matériel et payer pour tou</w:t>
      </w:r>
      <w:r w:rsidRPr="00A47BC6">
        <w:rPr>
          <w:i/>
          <w:lang w:val="fr-FR"/>
        </w:rPr>
        <w:t>te la recherche</w:t>
      </w:r>
    </w:p>
    <w:p w:rsidR="00F26EEC" w:rsidRPr="00A47BC6" w:rsidRDefault="00DB5754">
      <w:pPr>
        <w:rPr>
          <w:i/>
          <w:lang w:val="fr-FR"/>
        </w:rPr>
      </w:pPr>
      <w:r w:rsidRPr="00A47BC6">
        <w:rPr>
          <w:i/>
          <w:lang w:val="fr-FR"/>
        </w:rPr>
        <w:t>(</w:t>
      </w:r>
      <w:proofErr w:type="gramStart"/>
      <w:r w:rsidRPr="00A47BC6">
        <w:rPr>
          <w:i/>
          <w:lang w:val="fr-FR"/>
        </w:rPr>
        <w:t>ordinateur</w:t>
      </w:r>
      <w:proofErr w:type="gramEnd"/>
      <w:r w:rsidRPr="00A47BC6">
        <w:rPr>
          <w:i/>
          <w:lang w:val="fr-FR"/>
        </w:rPr>
        <w:t>, logiciel, votre temps, fournitures, etc.) utilisée un tableau pour présenter les</w:t>
      </w:r>
    </w:p>
    <w:p w:rsidR="00F26EEC" w:rsidRDefault="00DB5754">
      <w:pPr>
        <w:rPr>
          <w:i/>
        </w:rPr>
      </w:pPr>
      <w:proofErr w:type="spellStart"/>
      <w:proofErr w:type="gramStart"/>
      <w:r>
        <w:rPr>
          <w:i/>
        </w:rPr>
        <w:t>couts</w:t>
      </w:r>
      <w:proofErr w:type="spellEnd"/>
      <w:proofErr w:type="gramEnd"/>
      <w:r>
        <w:rPr>
          <w:i/>
        </w:rPr>
        <w:t>.</w:t>
      </w:r>
    </w:p>
    <w:p w:rsidR="00F26EEC" w:rsidRDefault="00DB5754">
      <w:pPr>
        <w:rPr>
          <w:i/>
        </w:rPr>
      </w:pPr>
      <w:proofErr w:type="spellStart"/>
      <w:r>
        <w:rPr>
          <w:i/>
        </w:rPr>
        <w:t>Justifiez</w:t>
      </w:r>
      <w:proofErr w:type="spellEnd"/>
      <w:r>
        <w:rPr>
          <w:i/>
        </w:rPr>
        <w:t xml:space="preserve"> les </w:t>
      </w:r>
      <w:proofErr w:type="spellStart"/>
      <w:r>
        <w:rPr>
          <w:i/>
        </w:rPr>
        <w:t>couts</w:t>
      </w:r>
      <w:proofErr w:type="spellEnd"/>
    </w:p>
    <w:p w:rsidR="00F26EEC" w:rsidRDefault="00F26EEC"/>
    <w:tbl>
      <w:tblPr>
        <w:tblStyle w:val="a1"/>
        <w:tblW w:w="4530" w:type="dxa"/>
        <w:tblBorders>
          <w:top w:val="nil"/>
          <w:left w:val="nil"/>
          <w:bottom w:val="nil"/>
          <w:right w:val="nil"/>
          <w:insideH w:val="nil"/>
          <w:insideV w:val="nil"/>
        </w:tblBorders>
        <w:tblLayout w:type="fixed"/>
        <w:tblLook w:val="0600" w:firstRow="0" w:lastRow="0" w:firstColumn="0" w:lastColumn="0" w:noHBand="1" w:noVBand="1"/>
      </w:tblPr>
      <w:tblGrid>
        <w:gridCol w:w="2850"/>
        <w:gridCol w:w="1680"/>
      </w:tblGrid>
      <w:tr w:rsidR="00F26EEC">
        <w:trPr>
          <w:trHeight w:val="315"/>
        </w:trPr>
        <w:tc>
          <w:tcPr>
            <w:tcW w:w="2850"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rsidR="00F26EEC" w:rsidRDefault="00DB5754">
            <w:pPr>
              <w:widowControl w:val="0"/>
              <w:spacing w:line="276" w:lineRule="auto"/>
              <w:jc w:val="left"/>
              <w:rPr>
                <w:rFonts w:ascii="Arial" w:eastAsia="Arial" w:hAnsi="Arial" w:cs="Arial"/>
                <w:sz w:val="20"/>
                <w:szCs w:val="20"/>
              </w:rPr>
            </w:pPr>
            <w:r>
              <w:rPr>
                <w:rFonts w:ascii="Arial" w:eastAsia="Arial" w:hAnsi="Arial" w:cs="Arial"/>
                <w:sz w:val="20"/>
                <w:szCs w:val="20"/>
              </w:rPr>
              <w:t xml:space="preserve">Services </w:t>
            </w:r>
            <w:proofErr w:type="spellStart"/>
            <w:r>
              <w:rPr>
                <w:rFonts w:ascii="Arial" w:eastAsia="Arial" w:hAnsi="Arial" w:cs="Arial"/>
                <w:sz w:val="20"/>
                <w:szCs w:val="20"/>
              </w:rPr>
              <w:t>professionnels</w:t>
            </w:r>
            <w:proofErr w:type="spellEnd"/>
          </w:p>
        </w:tc>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26EEC" w:rsidRDefault="00DB5754">
            <w:pPr>
              <w:widowControl w:val="0"/>
              <w:spacing w:line="276" w:lineRule="auto"/>
              <w:jc w:val="right"/>
              <w:rPr>
                <w:rFonts w:ascii="Arial" w:eastAsia="Arial" w:hAnsi="Arial" w:cs="Arial"/>
                <w:sz w:val="20"/>
                <w:szCs w:val="20"/>
              </w:rPr>
            </w:pPr>
            <w:r>
              <w:rPr>
                <w:rFonts w:ascii="Arial" w:eastAsia="Arial" w:hAnsi="Arial" w:cs="Arial"/>
                <w:sz w:val="20"/>
                <w:szCs w:val="20"/>
              </w:rPr>
              <w:t>$17,718.75</w:t>
            </w:r>
          </w:p>
        </w:tc>
      </w:tr>
      <w:tr w:rsidR="00F26EEC">
        <w:trPr>
          <w:trHeight w:val="315"/>
        </w:trPr>
        <w:tc>
          <w:tcPr>
            <w:tcW w:w="285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rsidR="00F26EEC" w:rsidRDefault="00DB5754">
            <w:pPr>
              <w:widowControl w:val="0"/>
              <w:spacing w:line="276" w:lineRule="auto"/>
              <w:jc w:val="left"/>
              <w:rPr>
                <w:rFonts w:ascii="Arial" w:eastAsia="Arial" w:hAnsi="Arial" w:cs="Arial"/>
                <w:sz w:val="20"/>
                <w:szCs w:val="20"/>
              </w:rPr>
            </w:pPr>
            <w:proofErr w:type="spellStart"/>
            <w:r>
              <w:rPr>
                <w:rFonts w:ascii="Arial" w:eastAsia="Arial" w:hAnsi="Arial" w:cs="Arial"/>
                <w:sz w:val="20"/>
                <w:szCs w:val="20"/>
              </w:rPr>
              <w:t>Matériel</w:t>
            </w:r>
            <w:proofErr w:type="spellEnd"/>
          </w:p>
        </w:tc>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26EEC" w:rsidRDefault="00DB5754">
            <w:pPr>
              <w:widowControl w:val="0"/>
              <w:spacing w:line="276" w:lineRule="auto"/>
              <w:jc w:val="right"/>
              <w:rPr>
                <w:rFonts w:ascii="Arial" w:eastAsia="Arial" w:hAnsi="Arial" w:cs="Arial"/>
                <w:sz w:val="20"/>
                <w:szCs w:val="20"/>
              </w:rPr>
            </w:pPr>
            <w:r>
              <w:rPr>
                <w:rFonts w:ascii="Arial" w:eastAsia="Arial" w:hAnsi="Arial" w:cs="Arial"/>
                <w:sz w:val="20"/>
                <w:szCs w:val="20"/>
              </w:rPr>
              <w:t>$6,420.00</w:t>
            </w:r>
          </w:p>
        </w:tc>
      </w:tr>
      <w:tr w:rsidR="00F26EEC">
        <w:trPr>
          <w:trHeight w:val="315"/>
        </w:trPr>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26EEC" w:rsidRDefault="00DB5754">
            <w:pPr>
              <w:widowControl w:val="0"/>
              <w:spacing w:line="276" w:lineRule="auto"/>
              <w:jc w:val="right"/>
              <w:rPr>
                <w:rFonts w:ascii="Arial" w:eastAsia="Arial" w:hAnsi="Arial" w:cs="Arial"/>
                <w:sz w:val="20"/>
                <w:szCs w:val="20"/>
              </w:rPr>
            </w:pPr>
            <w:r>
              <w:rPr>
                <w:rFonts w:ascii="Arial" w:eastAsia="Arial" w:hAnsi="Arial" w:cs="Arial"/>
                <w:sz w:val="20"/>
                <w:szCs w:val="20"/>
              </w:rPr>
              <w:t>Total</w:t>
            </w:r>
          </w:p>
        </w:tc>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26EEC" w:rsidRDefault="00DB5754">
            <w:pPr>
              <w:widowControl w:val="0"/>
              <w:spacing w:line="276" w:lineRule="auto"/>
              <w:jc w:val="right"/>
              <w:rPr>
                <w:rFonts w:ascii="Arial" w:eastAsia="Arial" w:hAnsi="Arial" w:cs="Arial"/>
                <w:sz w:val="20"/>
                <w:szCs w:val="20"/>
              </w:rPr>
            </w:pPr>
            <w:r>
              <w:rPr>
                <w:rFonts w:ascii="Arial" w:eastAsia="Arial" w:hAnsi="Arial" w:cs="Arial"/>
                <w:sz w:val="20"/>
                <w:szCs w:val="20"/>
              </w:rPr>
              <w:t>$24,138.75</w:t>
            </w:r>
          </w:p>
        </w:tc>
      </w:tr>
    </w:tbl>
    <w:p w:rsidR="00F26EEC" w:rsidRDefault="00F26EEC"/>
    <w:p w:rsidR="00F26EEC" w:rsidRPr="00A47BC6" w:rsidRDefault="00DB5754">
      <w:pPr>
        <w:rPr>
          <w:lang w:val="fr-FR"/>
        </w:rPr>
      </w:pPr>
      <w:r w:rsidRPr="00A47BC6">
        <w:rPr>
          <w:lang w:val="fr-FR"/>
        </w:rPr>
        <w:t>Les co</w:t>
      </w:r>
      <w:r w:rsidR="00A47BC6">
        <w:rPr>
          <w:lang w:val="fr-FR"/>
        </w:rPr>
        <w:t>u</w:t>
      </w:r>
      <w:r w:rsidRPr="00A47BC6">
        <w:rPr>
          <w:lang w:val="fr-FR"/>
        </w:rPr>
        <w:t xml:space="preserve">ts sont justifiés dans le document “Gae710 - Budget.pdf”. </w:t>
      </w:r>
    </w:p>
    <w:p w:rsidR="00F26EEC" w:rsidRPr="00A47BC6" w:rsidRDefault="00F26EEC">
      <w:pPr>
        <w:rPr>
          <w:lang w:val="fr-FR"/>
        </w:rPr>
      </w:pPr>
    </w:p>
    <w:p w:rsidR="00F26EEC" w:rsidRPr="00A47BC6" w:rsidRDefault="00F26EEC">
      <w:pPr>
        <w:rPr>
          <w:lang w:val="fr-FR"/>
        </w:rPr>
      </w:pPr>
    </w:p>
    <w:p w:rsidR="00F26EEC" w:rsidRPr="00A47BC6" w:rsidRDefault="00DB5754">
      <w:pPr>
        <w:pStyle w:val="Heading1"/>
        <w:rPr>
          <w:lang w:val="fr-FR"/>
        </w:rPr>
      </w:pPr>
      <w:bookmarkStart w:id="10" w:name="_3h40cqbr9wt8" w:colFirst="0" w:colLast="0"/>
      <w:bookmarkEnd w:id="10"/>
      <w:r w:rsidRPr="00A47BC6">
        <w:rPr>
          <w:lang w:val="fr-FR"/>
        </w:rPr>
        <w:br w:type="page"/>
      </w:r>
    </w:p>
    <w:p w:rsidR="00F26EEC" w:rsidRDefault="00DB5754">
      <w:pPr>
        <w:pStyle w:val="Heading1"/>
      </w:pPr>
      <w:bookmarkStart w:id="11" w:name="_Toc65102448"/>
      <w:proofErr w:type="spellStart"/>
      <w:r>
        <w:lastRenderedPageBreak/>
        <w:t>Références</w:t>
      </w:r>
      <w:bookmarkEnd w:id="11"/>
      <w:proofErr w:type="spellEnd"/>
    </w:p>
    <w:p w:rsidR="00F26EEC" w:rsidRDefault="00DB5754">
      <w:pPr>
        <w:numPr>
          <w:ilvl w:val="0"/>
          <w:numId w:val="1"/>
        </w:numPr>
        <w:spacing w:line="324" w:lineRule="auto"/>
      </w:pPr>
      <w:proofErr w:type="spellStart"/>
      <w:r>
        <w:t>Bonsal</w:t>
      </w:r>
      <w:proofErr w:type="spellEnd"/>
      <w:r>
        <w:t xml:space="preserve">, Barrie R., Elaine E. Wheaton, Aston C. </w:t>
      </w:r>
      <w:proofErr w:type="spellStart"/>
      <w:r>
        <w:t>Chipanshi</w:t>
      </w:r>
      <w:proofErr w:type="spellEnd"/>
      <w:r>
        <w:t xml:space="preserve">, Charles Lin, David J. </w:t>
      </w:r>
      <w:proofErr w:type="spellStart"/>
      <w:r>
        <w:t>Sauchyn</w:t>
      </w:r>
      <w:proofErr w:type="spellEnd"/>
      <w:r>
        <w:t xml:space="preserve">, </w:t>
      </w:r>
      <w:proofErr w:type="gramStart"/>
      <w:r>
        <w:t>et</w:t>
      </w:r>
      <w:proofErr w:type="gramEnd"/>
      <w:r>
        <w:t xml:space="preserve"> Lei Wen. 2011. « Drought Research in Canada: A Review ». </w:t>
      </w:r>
      <w:r>
        <w:rPr>
          <w:i/>
        </w:rPr>
        <w:t>Atmosphere-Ocean</w:t>
      </w:r>
      <w:r>
        <w:t xml:space="preserve"> 49 (4): 303‑19.</w:t>
      </w:r>
      <w:hyperlink r:id="rId9">
        <w:r>
          <w:t xml:space="preserve"> </w:t>
        </w:r>
      </w:hyperlink>
      <w:hyperlink r:id="rId10">
        <w:r>
          <w:rPr>
            <w:color w:val="1155CC"/>
            <w:u w:val="single"/>
          </w:rPr>
          <w:t>https://doi.org/10.1080/07055900.2011.555103</w:t>
        </w:r>
      </w:hyperlink>
      <w:r>
        <w:t>.</w:t>
      </w:r>
    </w:p>
    <w:p w:rsidR="00F26EEC" w:rsidRDefault="00DB5754">
      <w:pPr>
        <w:numPr>
          <w:ilvl w:val="0"/>
          <w:numId w:val="1"/>
        </w:numPr>
        <w:spacing w:line="324" w:lineRule="auto"/>
      </w:pPr>
      <w:r>
        <w:t xml:space="preserve">Champagne, Catherine, Andrew Davidson, Patrick </w:t>
      </w:r>
      <w:proofErr w:type="spellStart"/>
      <w:r>
        <w:t>Cherneski</w:t>
      </w:r>
      <w:proofErr w:type="spellEnd"/>
      <w:r>
        <w:t>, Jessika</w:t>
      </w:r>
      <w:r>
        <w:t xml:space="preserve"> </w:t>
      </w:r>
      <w:proofErr w:type="spellStart"/>
      <w:r>
        <w:t>L’Heureux</w:t>
      </w:r>
      <w:proofErr w:type="spellEnd"/>
      <w:r>
        <w:t xml:space="preserve">, </w:t>
      </w:r>
      <w:proofErr w:type="gramStart"/>
      <w:r>
        <w:t>et</w:t>
      </w:r>
      <w:proofErr w:type="gramEnd"/>
      <w:r>
        <w:t xml:space="preserve"> Trevor </w:t>
      </w:r>
      <w:proofErr w:type="spellStart"/>
      <w:r>
        <w:t>Hadwen</w:t>
      </w:r>
      <w:proofErr w:type="spellEnd"/>
      <w:r>
        <w:t xml:space="preserve">. 2015. « Monitoring Agricultural Risk in Canada Using L-Band Passive Microwave Soil Moisture from SMOS ». </w:t>
      </w:r>
      <w:r>
        <w:rPr>
          <w:i/>
        </w:rPr>
        <w:t>Journal of Hydrometeorology</w:t>
      </w:r>
      <w:r>
        <w:t xml:space="preserve"> 16 (1): 5‑18.</w:t>
      </w:r>
      <w:hyperlink r:id="rId11">
        <w:r>
          <w:t xml:space="preserve"> </w:t>
        </w:r>
      </w:hyperlink>
      <w:hyperlink r:id="rId12">
        <w:r>
          <w:rPr>
            <w:color w:val="1155CC"/>
            <w:u w:val="single"/>
          </w:rPr>
          <w:t>https://doi.org/10.1175/JHM-D-14-0039.1</w:t>
        </w:r>
      </w:hyperlink>
      <w:r>
        <w:t>.</w:t>
      </w:r>
    </w:p>
    <w:p w:rsidR="00F26EEC" w:rsidRDefault="00DB5754">
      <w:pPr>
        <w:numPr>
          <w:ilvl w:val="0"/>
          <w:numId w:val="1"/>
        </w:numPr>
        <w:spacing w:line="324" w:lineRule="auto"/>
      </w:pPr>
      <w:r>
        <w:t xml:space="preserve">« Climate scenarios for agriculture - Agriculture and </w:t>
      </w:r>
      <w:proofErr w:type="spellStart"/>
      <w:r>
        <w:t>Agri</w:t>
      </w:r>
      <w:proofErr w:type="spellEnd"/>
      <w:r>
        <w:t xml:space="preserve">-Food Canada (AAFC) ». s. d. </w:t>
      </w:r>
      <w:proofErr w:type="spellStart"/>
      <w:r>
        <w:t>Consulté</w:t>
      </w:r>
      <w:proofErr w:type="spellEnd"/>
      <w:r>
        <w:t xml:space="preserve"> le 20 </w:t>
      </w:r>
      <w:proofErr w:type="spellStart"/>
      <w:r>
        <w:t>février</w:t>
      </w:r>
      <w:proofErr w:type="spellEnd"/>
      <w:r>
        <w:t xml:space="preserve"> 2021.</w:t>
      </w:r>
      <w:hyperlink r:id="rId13">
        <w:r>
          <w:t xml:space="preserve"> </w:t>
        </w:r>
      </w:hyperlink>
      <w:hyperlink r:id="rId14">
        <w:r>
          <w:rPr>
            <w:color w:val="1155CC"/>
            <w:u w:val="single"/>
          </w:rPr>
          <w:t>https://www.agr.gc.ca/eng/agriculture-and-the-environment/agricultural-practices/climate-change-and-agriculture/climate-scenarios-for-agriculture/?id=1329321981630</w:t>
        </w:r>
      </w:hyperlink>
      <w:r>
        <w:t>.</w:t>
      </w:r>
    </w:p>
    <w:p w:rsidR="00F26EEC" w:rsidRDefault="00DB5754">
      <w:pPr>
        <w:numPr>
          <w:ilvl w:val="0"/>
          <w:numId w:val="1"/>
        </w:numPr>
        <w:spacing w:line="324" w:lineRule="auto"/>
      </w:pPr>
      <w:r w:rsidRPr="00A47BC6">
        <w:rPr>
          <w:lang w:val="fr-FR"/>
        </w:rPr>
        <w:t xml:space="preserve">« </w:t>
      </w:r>
      <w:proofErr w:type="spellStart"/>
      <w:r w:rsidRPr="00A47BC6">
        <w:rPr>
          <w:lang w:val="fr-FR"/>
        </w:rPr>
        <w:t>Climate</w:t>
      </w:r>
      <w:proofErr w:type="spellEnd"/>
      <w:r w:rsidRPr="00A47BC6">
        <w:rPr>
          <w:lang w:val="fr-FR"/>
        </w:rPr>
        <w:t xml:space="preserve"> Variables | Atlas climatique du</w:t>
      </w:r>
      <w:r w:rsidRPr="00A47BC6">
        <w:rPr>
          <w:lang w:val="fr-FR"/>
        </w:rPr>
        <w:t xml:space="preserve"> Canada ». s. d. Consulté le 21 février 2021.</w:t>
      </w:r>
      <w:hyperlink r:id="rId15">
        <w:r w:rsidRPr="00A47BC6">
          <w:rPr>
            <w:lang w:val="fr-FR"/>
          </w:rPr>
          <w:t xml:space="preserve"> </w:t>
        </w:r>
      </w:hyperlink>
      <w:hyperlink r:id="rId16">
        <w:r>
          <w:rPr>
            <w:color w:val="1155CC"/>
            <w:u w:val="single"/>
          </w:rPr>
          <w:t>https://atlasclimatique.ca/variables</w:t>
        </w:r>
      </w:hyperlink>
      <w:r>
        <w:t>.</w:t>
      </w:r>
    </w:p>
    <w:p w:rsidR="00F26EEC" w:rsidRDefault="00DB5754">
      <w:pPr>
        <w:numPr>
          <w:ilvl w:val="0"/>
          <w:numId w:val="1"/>
        </w:numPr>
        <w:spacing w:line="324" w:lineRule="auto"/>
      </w:pPr>
      <w:r w:rsidRPr="00A47BC6">
        <w:rPr>
          <w:lang w:val="fr-FR"/>
        </w:rPr>
        <w:t xml:space="preserve">Cohen, Stewart, Grace </w:t>
      </w:r>
      <w:proofErr w:type="spellStart"/>
      <w:r w:rsidRPr="00A47BC6">
        <w:rPr>
          <w:lang w:val="fr-FR"/>
        </w:rPr>
        <w:t>Koshida</w:t>
      </w:r>
      <w:proofErr w:type="spellEnd"/>
      <w:r w:rsidRPr="00A47BC6">
        <w:rPr>
          <w:lang w:val="fr-FR"/>
        </w:rPr>
        <w:t xml:space="preserve">, et Linda </w:t>
      </w:r>
      <w:proofErr w:type="spellStart"/>
      <w:r w:rsidRPr="00A47BC6">
        <w:rPr>
          <w:lang w:val="fr-FR"/>
        </w:rPr>
        <w:t>Mortsch</w:t>
      </w:r>
      <w:proofErr w:type="spellEnd"/>
      <w:r w:rsidRPr="00A47BC6">
        <w:rPr>
          <w:lang w:val="fr-FR"/>
        </w:rPr>
        <w:t xml:space="preserve">. </w:t>
      </w:r>
      <w:r>
        <w:t>2015. « Cli</w:t>
      </w:r>
      <w:r>
        <w:t xml:space="preserve">mate and Water Availability Indicators in Canada: Challenges and a Way Forward. </w:t>
      </w:r>
      <w:r w:rsidRPr="00A47BC6">
        <w:rPr>
          <w:lang w:val="fr-FR"/>
        </w:rPr>
        <w:t xml:space="preserve">Part III – Future Scenarios ». </w:t>
      </w:r>
      <w:r w:rsidRPr="00A47BC6">
        <w:rPr>
          <w:i/>
          <w:lang w:val="fr-FR"/>
        </w:rPr>
        <w:t xml:space="preserve">Canadian Water </w:t>
      </w:r>
      <w:proofErr w:type="spellStart"/>
      <w:r w:rsidRPr="00A47BC6">
        <w:rPr>
          <w:i/>
          <w:lang w:val="fr-FR"/>
        </w:rPr>
        <w:t>Resources</w:t>
      </w:r>
      <w:proofErr w:type="spellEnd"/>
      <w:r w:rsidRPr="00A47BC6">
        <w:rPr>
          <w:i/>
          <w:lang w:val="fr-FR"/>
        </w:rPr>
        <w:t xml:space="preserve"> Journal / Revue Canadienne Des Ressources Hydriques</w:t>
      </w:r>
      <w:r w:rsidRPr="00A47BC6">
        <w:rPr>
          <w:lang w:val="fr-FR"/>
        </w:rPr>
        <w:t xml:space="preserve"> 40 (2): 160‑72.</w:t>
      </w:r>
      <w:hyperlink r:id="rId17">
        <w:r w:rsidRPr="00A47BC6">
          <w:rPr>
            <w:lang w:val="fr-FR"/>
          </w:rPr>
          <w:t xml:space="preserve"> </w:t>
        </w:r>
      </w:hyperlink>
      <w:hyperlink r:id="rId18">
        <w:r>
          <w:rPr>
            <w:color w:val="1155CC"/>
            <w:u w:val="single"/>
          </w:rPr>
          <w:t>https://doi.org/10.1080/07011784.2015.1006021</w:t>
        </w:r>
      </w:hyperlink>
      <w:r>
        <w:t>.</w:t>
      </w:r>
    </w:p>
    <w:p w:rsidR="00F26EEC" w:rsidRDefault="00DB5754">
      <w:pPr>
        <w:numPr>
          <w:ilvl w:val="0"/>
          <w:numId w:val="1"/>
        </w:numPr>
        <w:spacing w:line="324" w:lineRule="auto"/>
      </w:pPr>
      <w:r>
        <w:t xml:space="preserve">Collins, Matthew, </w:t>
      </w:r>
      <w:proofErr w:type="spellStart"/>
      <w:r>
        <w:t>Reto</w:t>
      </w:r>
      <w:proofErr w:type="spellEnd"/>
      <w:r>
        <w:t xml:space="preserve"> </w:t>
      </w:r>
      <w:proofErr w:type="spellStart"/>
      <w:r>
        <w:t>Knutti</w:t>
      </w:r>
      <w:proofErr w:type="spellEnd"/>
      <w:r>
        <w:t xml:space="preserve">, Julie </w:t>
      </w:r>
      <w:proofErr w:type="spellStart"/>
      <w:r>
        <w:t>Arblaster</w:t>
      </w:r>
      <w:proofErr w:type="spellEnd"/>
      <w:r>
        <w:t xml:space="preserve">, Jean-Louis Dufresne, Thierry </w:t>
      </w:r>
      <w:proofErr w:type="spellStart"/>
      <w:r>
        <w:t>Fichefet</w:t>
      </w:r>
      <w:proofErr w:type="spellEnd"/>
      <w:r>
        <w:t xml:space="preserve">, </w:t>
      </w:r>
      <w:proofErr w:type="spellStart"/>
      <w:r>
        <w:t>Xuejie</w:t>
      </w:r>
      <w:proofErr w:type="spellEnd"/>
      <w:r>
        <w:t xml:space="preserve"> Gao, William J </w:t>
      </w:r>
      <w:proofErr w:type="spellStart"/>
      <w:r>
        <w:t>Gutowski</w:t>
      </w:r>
      <w:proofErr w:type="spellEnd"/>
      <w:r>
        <w:t xml:space="preserve"> Jr, et al. s.</w:t>
      </w:r>
      <w:r>
        <w:t xml:space="preserve"> d. « Long-Term Climate Change: Projections, Commitments and Irreversibility », 108.</w:t>
      </w:r>
    </w:p>
    <w:p w:rsidR="00F26EEC" w:rsidRDefault="00DB5754">
      <w:pPr>
        <w:numPr>
          <w:ilvl w:val="0"/>
          <w:numId w:val="1"/>
        </w:numPr>
        <w:spacing w:line="324" w:lineRule="auto"/>
      </w:pPr>
      <w:r w:rsidRPr="00A47BC6">
        <w:rPr>
          <w:lang w:val="fr-FR"/>
        </w:rPr>
        <w:t>« Couverture_des_terres_des_regions_agricoles_du_Canada_vers_l_an_2000_Specifications_de_contenu_informationnel_produites_conformement_a_la.pdf ». s. d. Consulté le 23 fév</w:t>
      </w:r>
      <w:r w:rsidRPr="00A47BC6">
        <w:rPr>
          <w:lang w:val="fr-FR"/>
        </w:rPr>
        <w:t>rier 2021.</w:t>
      </w:r>
      <w:hyperlink r:id="rId19">
        <w:r w:rsidRPr="00A47BC6">
          <w:rPr>
            <w:lang w:val="fr-FR"/>
          </w:rPr>
          <w:t xml:space="preserve"> </w:t>
        </w:r>
      </w:hyperlink>
      <w:hyperlink r:id="rId20">
        <w:r>
          <w:rPr>
            <w:color w:val="1155CC"/>
            <w:u w:val="single"/>
          </w:rPr>
          <w:t>https://www</w:t>
        </w:r>
        <w:r>
          <w:rPr>
            <w:color w:val="1155CC"/>
            <w:u w:val="single"/>
          </w:rPr>
          <w:t>.agr.gc.ca/atlas/supportdocument_documentdesupport/circa2000Landcover/fr/Couverture_des_terres_des_regions_agricoles_du_Canada_vers_l_an_2000_Specifications_de_contenu_informationnel_produites_conformement_a_la.pdf</w:t>
        </w:r>
      </w:hyperlink>
      <w:r>
        <w:t>.</w:t>
      </w:r>
    </w:p>
    <w:p w:rsidR="00F26EEC" w:rsidRPr="00A47BC6" w:rsidRDefault="00DB5754">
      <w:pPr>
        <w:numPr>
          <w:ilvl w:val="0"/>
          <w:numId w:val="1"/>
        </w:numPr>
        <w:spacing w:line="324" w:lineRule="auto"/>
        <w:rPr>
          <w:lang w:val="fr-FR"/>
        </w:rPr>
      </w:pPr>
      <w:proofErr w:type="spellStart"/>
      <w:r w:rsidRPr="00A47BC6">
        <w:rPr>
          <w:lang w:val="fr-FR"/>
        </w:rPr>
        <w:t>Defourny</w:t>
      </w:r>
      <w:proofErr w:type="spellEnd"/>
      <w:r w:rsidRPr="00A47BC6">
        <w:rPr>
          <w:lang w:val="fr-FR"/>
        </w:rPr>
        <w:t>, Pierre, Céline Lamarche, et Qu</w:t>
      </w:r>
      <w:r w:rsidRPr="00A47BC6">
        <w:rPr>
          <w:lang w:val="fr-FR"/>
        </w:rPr>
        <w:t xml:space="preserve">entin </w:t>
      </w:r>
      <w:proofErr w:type="spellStart"/>
      <w:r w:rsidRPr="00A47BC6">
        <w:rPr>
          <w:lang w:val="fr-FR"/>
        </w:rPr>
        <w:t>Marissiaux</w:t>
      </w:r>
      <w:proofErr w:type="spellEnd"/>
      <w:r w:rsidRPr="00A47BC6">
        <w:rPr>
          <w:lang w:val="fr-FR"/>
        </w:rPr>
        <w:t>. s. d. « BROCKMANN CONSULT GMBH », 38.</w:t>
      </w:r>
    </w:p>
    <w:p w:rsidR="00F26EEC" w:rsidRDefault="00DB5754">
      <w:pPr>
        <w:numPr>
          <w:ilvl w:val="0"/>
          <w:numId w:val="1"/>
        </w:numPr>
        <w:spacing w:line="324" w:lineRule="auto"/>
      </w:pPr>
      <w:r w:rsidRPr="00A47BC6">
        <w:rPr>
          <w:lang w:val="fr-FR"/>
        </w:rPr>
        <w:t xml:space="preserve">« </w:t>
      </w:r>
      <w:proofErr w:type="spellStart"/>
      <w:r w:rsidRPr="00A47BC6">
        <w:rPr>
          <w:lang w:val="fr-FR"/>
        </w:rPr>
        <w:t>Drought</w:t>
      </w:r>
      <w:proofErr w:type="spellEnd"/>
      <w:r w:rsidRPr="00A47BC6">
        <w:rPr>
          <w:lang w:val="fr-FR"/>
        </w:rPr>
        <w:t xml:space="preserve"> ». s. d. Consulté le 20 février 2021.</w:t>
      </w:r>
      <w:hyperlink r:id="rId21">
        <w:r w:rsidRPr="00A47BC6">
          <w:rPr>
            <w:lang w:val="fr-FR"/>
          </w:rPr>
          <w:t xml:space="preserve"> </w:t>
        </w:r>
      </w:hyperlink>
      <w:hyperlink r:id="rId22">
        <w:r>
          <w:rPr>
            <w:color w:val="1155CC"/>
            <w:u w:val="single"/>
          </w:rPr>
          <w:t>https://www.nrcan.gc.ca/climate-change/impacts-adaptations/climate-change-impacts-forests/forest-change-indicato</w:t>
        </w:r>
        <w:r>
          <w:rPr>
            <w:color w:val="1155CC"/>
            <w:u w:val="single"/>
          </w:rPr>
          <w:t>rs/drought/17772</w:t>
        </w:r>
      </w:hyperlink>
      <w:r>
        <w:t>.</w:t>
      </w:r>
    </w:p>
    <w:p w:rsidR="00F26EEC" w:rsidRDefault="00DB5754">
      <w:pPr>
        <w:numPr>
          <w:ilvl w:val="0"/>
          <w:numId w:val="1"/>
        </w:numPr>
        <w:spacing w:line="324" w:lineRule="auto"/>
      </w:pPr>
      <w:r w:rsidRPr="00A47BC6">
        <w:rPr>
          <w:lang w:val="fr-FR"/>
        </w:rPr>
        <w:lastRenderedPageBreak/>
        <w:t>« ESA_CCI_SM_RD_D2.1_v1_ATBD_v05.2.pdf ». s. d. Consulté le 21 février 2021.</w:t>
      </w:r>
      <w:hyperlink r:id="rId23">
        <w:r w:rsidRPr="00A47BC6">
          <w:rPr>
            <w:lang w:val="fr-FR"/>
          </w:rPr>
          <w:t xml:space="preserve"> </w:t>
        </w:r>
      </w:hyperlink>
      <w:hyperlink r:id="rId24">
        <w:r>
          <w:rPr>
            <w:color w:val="1155CC"/>
            <w:u w:val="single"/>
          </w:rPr>
          <w:t>https://www.esa-soilmoisture-cci.org/sites/default/files/documents/public/CCI%20SM%20v05.2%20documentation/ESA_CCI_SM_RD_D2.1_v1_ATBD_v05.2.pdf</w:t>
        </w:r>
      </w:hyperlink>
      <w:r>
        <w:t>.</w:t>
      </w:r>
    </w:p>
    <w:p w:rsidR="00F26EEC" w:rsidRDefault="00DB5754">
      <w:pPr>
        <w:numPr>
          <w:ilvl w:val="0"/>
          <w:numId w:val="1"/>
        </w:numPr>
        <w:spacing w:line="324" w:lineRule="auto"/>
      </w:pPr>
      <w:r>
        <w:t xml:space="preserve">Gruber, Alexander, Tracy Scanlon, Robin van der </w:t>
      </w:r>
      <w:proofErr w:type="spellStart"/>
      <w:r>
        <w:t>Schalie</w:t>
      </w:r>
      <w:proofErr w:type="spellEnd"/>
      <w:r>
        <w:t xml:space="preserve">, Wolfgang Wagner, </w:t>
      </w:r>
      <w:proofErr w:type="gramStart"/>
      <w:r>
        <w:t>et</w:t>
      </w:r>
      <w:proofErr w:type="gramEnd"/>
      <w:r>
        <w:t xml:space="preserve"> </w:t>
      </w:r>
      <w:proofErr w:type="spellStart"/>
      <w:r>
        <w:t>Wouter</w:t>
      </w:r>
      <w:proofErr w:type="spellEnd"/>
      <w:r>
        <w:t xml:space="preserve"> </w:t>
      </w:r>
      <w:proofErr w:type="spellStart"/>
      <w:r>
        <w:t>Dorigo</w:t>
      </w:r>
      <w:proofErr w:type="spellEnd"/>
      <w:r>
        <w:t>. 2019. « Evolution o</w:t>
      </w:r>
      <w:r>
        <w:t xml:space="preserve">f the ESA CCI Soil Moisture Climate Data Records and Their Underlying Merging Methodology ». </w:t>
      </w:r>
      <w:r>
        <w:rPr>
          <w:i/>
        </w:rPr>
        <w:t>Earth System Science Data</w:t>
      </w:r>
      <w:r>
        <w:t xml:space="preserve"> 11 (2): 717‑39.</w:t>
      </w:r>
      <w:hyperlink r:id="rId25">
        <w:r>
          <w:t xml:space="preserve"> </w:t>
        </w:r>
      </w:hyperlink>
      <w:hyperlink r:id="rId26">
        <w:r>
          <w:rPr>
            <w:color w:val="1155CC"/>
            <w:u w:val="single"/>
          </w:rPr>
          <w:t>h</w:t>
        </w:r>
        <w:r>
          <w:rPr>
            <w:color w:val="1155CC"/>
            <w:u w:val="single"/>
          </w:rPr>
          <w:t>ttps://doi.org/10.5194/essd-11-717-2019</w:t>
        </w:r>
      </w:hyperlink>
      <w:r>
        <w:t>.</w:t>
      </w:r>
    </w:p>
    <w:p w:rsidR="00F26EEC" w:rsidRDefault="00DB5754">
      <w:pPr>
        <w:numPr>
          <w:ilvl w:val="0"/>
          <w:numId w:val="1"/>
        </w:numPr>
        <w:spacing w:line="324" w:lineRule="auto"/>
      </w:pPr>
      <w:r>
        <w:t xml:space="preserve">Huffman, Ted, </w:t>
      </w:r>
      <w:proofErr w:type="spellStart"/>
      <w:r>
        <w:t>Jiangui</w:t>
      </w:r>
      <w:proofErr w:type="spellEnd"/>
      <w:r>
        <w:t xml:space="preserve"> Liu, </w:t>
      </w:r>
      <w:proofErr w:type="spellStart"/>
      <w:r>
        <w:t>Melodie</w:t>
      </w:r>
      <w:proofErr w:type="spellEnd"/>
      <w:r>
        <w:t xml:space="preserve"> Green, Dick </w:t>
      </w:r>
      <w:proofErr w:type="spellStart"/>
      <w:r>
        <w:t>Coote</w:t>
      </w:r>
      <w:proofErr w:type="spellEnd"/>
      <w:r>
        <w:t xml:space="preserve">, </w:t>
      </w:r>
      <w:proofErr w:type="spellStart"/>
      <w:r>
        <w:t>Zhe</w:t>
      </w:r>
      <w:proofErr w:type="spellEnd"/>
      <w:r>
        <w:t xml:space="preserve"> Li, </w:t>
      </w:r>
      <w:proofErr w:type="spellStart"/>
      <w:r>
        <w:t>Huanjun</w:t>
      </w:r>
      <w:proofErr w:type="spellEnd"/>
      <w:r>
        <w:t xml:space="preserve"> Liu, </w:t>
      </w:r>
      <w:proofErr w:type="spellStart"/>
      <w:r>
        <w:t>Tingting</w:t>
      </w:r>
      <w:proofErr w:type="spellEnd"/>
      <w:r>
        <w:t xml:space="preserve"> Liu, </w:t>
      </w:r>
      <w:proofErr w:type="spellStart"/>
      <w:r>
        <w:t>Xinle</w:t>
      </w:r>
      <w:proofErr w:type="spellEnd"/>
      <w:r>
        <w:t xml:space="preserve"> Zhang, et </w:t>
      </w:r>
      <w:proofErr w:type="spellStart"/>
      <w:r>
        <w:t>Yuneng</w:t>
      </w:r>
      <w:proofErr w:type="spellEnd"/>
      <w:r>
        <w:t xml:space="preserve"> Du. 2015. « Improving and Evaluating the Soil Cover Indicator for Agricultural Land in Canada ». </w:t>
      </w:r>
      <w:r>
        <w:rPr>
          <w:i/>
        </w:rPr>
        <w:t>Ecolog</w:t>
      </w:r>
      <w:r>
        <w:rPr>
          <w:i/>
        </w:rPr>
        <w:t>ical Indicators</w:t>
      </w:r>
      <w:r>
        <w:t xml:space="preserve"> 48 (</w:t>
      </w:r>
      <w:proofErr w:type="spellStart"/>
      <w:r>
        <w:t>janvier</w:t>
      </w:r>
      <w:proofErr w:type="spellEnd"/>
      <w:r>
        <w:t>): 272‑81.</w:t>
      </w:r>
      <w:hyperlink r:id="rId27">
        <w:r>
          <w:t xml:space="preserve"> </w:t>
        </w:r>
      </w:hyperlink>
      <w:hyperlink r:id="rId28">
        <w:r>
          <w:rPr>
            <w:color w:val="1155CC"/>
            <w:u w:val="single"/>
          </w:rPr>
          <w:t>https://doi.org/10.1016/j.ecolind.2014.07.008</w:t>
        </w:r>
      </w:hyperlink>
      <w:r>
        <w:t>.</w:t>
      </w:r>
    </w:p>
    <w:p w:rsidR="00F26EEC" w:rsidRDefault="00DB5754">
      <w:pPr>
        <w:numPr>
          <w:ilvl w:val="0"/>
          <w:numId w:val="1"/>
        </w:numPr>
        <w:spacing w:line="324" w:lineRule="auto"/>
      </w:pPr>
      <w:r>
        <w:t xml:space="preserve">Kidd, Richard. s. d. « Soil Moisture ECV </w:t>
      </w:r>
      <w:r>
        <w:t>Product User Guide (PUG) », n</w:t>
      </w:r>
      <w:r>
        <w:rPr>
          <w:vertAlign w:val="superscript"/>
        </w:rPr>
        <w:t>o</w:t>
      </w:r>
      <w:r>
        <w:t xml:space="preserve"> 1: 88.</w:t>
      </w:r>
    </w:p>
    <w:p w:rsidR="00F26EEC" w:rsidRDefault="00DB5754">
      <w:pPr>
        <w:numPr>
          <w:ilvl w:val="0"/>
          <w:numId w:val="1"/>
        </w:numPr>
        <w:spacing w:line="324" w:lineRule="auto"/>
      </w:pPr>
      <w:proofErr w:type="spellStart"/>
      <w:r w:rsidRPr="00A47BC6">
        <w:rPr>
          <w:lang w:val="fr-FR"/>
        </w:rPr>
        <w:t>Koshida</w:t>
      </w:r>
      <w:proofErr w:type="spellEnd"/>
      <w:r w:rsidRPr="00A47BC6">
        <w:rPr>
          <w:lang w:val="fr-FR"/>
        </w:rPr>
        <w:t xml:space="preserve">, Grace, Stewart Cohen, et Linda </w:t>
      </w:r>
      <w:proofErr w:type="spellStart"/>
      <w:r w:rsidRPr="00A47BC6">
        <w:rPr>
          <w:lang w:val="fr-FR"/>
        </w:rPr>
        <w:t>Mortsch</w:t>
      </w:r>
      <w:proofErr w:type="spellEnd"/>
      <w:r w:rsidRPr="00A47BC6">
        <w:rPr>
          <w:lang w:val="fr-FR"/>
        </w:rPr>
        <w:t xml:space="preserve">. </w:t>
      </w:r>
      <w:r>
        <w:t xml:space="preserve">2015. « Climate and Water Availability Indicators in Canada: Challenges and a Way Forward. </w:t>
      </w:r>
      <w:r w:rsidRPr="00A47BC6">
        <w:rPr>
          <w:lang w:val="fr-FR"/>
        </w:rPr>
        <w:t xml:space="preserve">Part I – </w:t>
      </w:r>
      <w:proofErr w:type="spellStart"/>
      <w:r w:rsidRPr="00A47BC6">
        <w:rPr>
          <w:lang w:val="fr-FR"/>
        </w:rPr>
        <w:t>Indicators</w:t>
      </w:r>
      <w:proofErr w:type="spellEnd"/>
      <w:r w:rsidRPr="00A47BC6">
        <w:rPr>
          <w:lang w:val="fr-FR"/>
        </w:rPr>
        <w:t xml:space="preserve"> ». </w:t>
      </w:r>
      <w:r w:rsidRPr="00A47BC6">
        <w:rPr>
          <w:i/>
          <w:lang w:val="fr-FR"/>
        </w:rPr>
        <w:t xml:space="preserve">Canadian Water </w:t>
      </w:r>
      <w:proofErr w:type="spellStart"/>
      <w:r w:rsidRPr="00A47BC6">
        <w:rPr>
          <w:i/>
          <w:lang w:val="fr-FR"/>
        </w:rPr>
        <w:t>Resources</w:t>
      </w:r>
      <w:proofErr w:type="spellEnd"/>
      <w:r w:rsidRPr="00A47BC6">
        <w:rPr>
          <w:i/>
          <w:lang w:val="fr-FR"/>
        </w:rPr>
        <w:t xml:space="preserve"> Journal / Revue Canadienne Des</w:t>
      </w:r>
      <w:r w:rsidRPr="00A47BC6">
        <w:rPr>
          <w:i/>
          <w:lang w:val="fr-FR"/>
        </w:rPr>
        <w:t xml:space="preserve"> Ressources Hydriques</w:t>
      </w:r>
      <w:r w:rsidRPr="00A47BC6">
        <w:rPr>
          <w:lang w:val="fr-FR"/>
        </w:rPr>
        <w:t xml:space="preserve"> 40 (2): 133‑45.</w:t>
      </w:r>
      <w:hyperlink r:id="rId29">
        <w:r w:rsidRPr="00A47BC6">
          <w:rPr>
            <w:lang w:val="fr-FR"/>
          </w:rPr>
          <w:t xml:space="preserve"> </w:t>
        </w:r>
      </w:hyperlink>
      <w:hyperlink r:id="rId30">
        <w:r>
          <w:rPr>
            <w:color w:val="1155CC"/>
            <w:u w:val="single"/>
          </w:rPr>
          <w:t>https://doi.org/10.1080/07011784.2015.1006023</w:t>
        </w:r>
      </w:hyperlink>
      <w:r>
        <w:t>.</w:t>
      </w:r>
    </w:p>
    <w:p w:rsidR="00F26EEC" w:rsidRDefault="00DB5754">
      <w:pPr>
        <w:numPr>
          <w:ilvl w:val="0"/>
          <w:numId w:val="1"/>
        </w:numPr>
        <w:spacing w:line="324" w:lineRule="auto"/>
      </w:pPr>
      <w:proofErr w:type="spellStart"/>
      <w:r>
        <w:t>Kulshreshtha</w:t>
      </w:r>
      <w:proofErr w:type="spellEnd"/>
      <w:r>
        <w:t xml:space="preserve">, </w:t>
      </w:r>
      <w:proofErr w:type="spellStart"/>
      <w:r>
        <w:t>Surendra</w:t>
      </w:r>
      <w:proofErr w:type="spellEnd"/>
      <w:r>
        <w:t xml:space="preserve"> N. 2011. « Climate</w:t>
      </w:r>
      <w:r>
        <w:t xml:space="preserve"> Change, Prairie Agriculture, and Prairie Economy: The New Normal ». </w:t>
      </w:r>
      <w:r>
        <w:rPr>
          <w:i/>
        </w:rPr>
        <w:t xml:space="preserve">Canadian Journal of Agricultural Economics/Revue </w:t>
      </w:r>
      <w:proofErr w:type="spellStart"/>
      <w:r>
        <w:rPr>
          <w:i/>
        </w:rPr>
        <w:t>Canadienne</w:t>
      </w:r>
      <w:proofErr w:type="spellEnd"/>
      <w:r>
        <w:rPr>
          <w:i/>
        </w:rPr>
        <w:t xml:space="preserve"> </w:t>
      </w:r>
      <w:proofErr w:type="spellStart"/>
      <w:r>
        <w:rPr>
          <w:i/>
        </w:rPr>
        <w:t>d’agroeconomie</w:t>
      </w:r>
      <w:proofErr w:type="spellEnd"/>
      <w:r>
        <w:t xml:space="preserve"> 59 (1): 19‑44.</w:t>
      </w:r>
      <w:hyperlink r:id="rId31">
        <w:r>
          <w:t xml:space="preserve"> </w:t>
        </w:r>
      </w:hyperlink>
      <w:hyperlink r:id="rId32">
        <w:r>
          <w:rPr>
            <w:color w:val="1155CC"/>
            <w:u w:val="single"/>
          </w:rPr>
          <w:t>https://doi.org/10.1111/j.1744-7976.2010.01211.x</w:t>
        </w:r>
      </w:hyperlink>
      <w:r>
        <w:t>.</w:t>
      </w:r>
    </w:p>
    <w:p w:rsidR="00F26EEC" w:rsidRDefault="00DB5754">
      <w:pPr>
        <w:numPr>
          <w:ilvl w:val="0"/>
          <w:numId w:val="1"/>
        </w:numPr>
        <w:spacing w:line="324" w:lineRule="auto"/>
      </w:pPr>
      <w:proofErr w:type="spellStart"/>
      <w:r>
        <w:t>Mortsch</w:t>
      </w:r>
      <w:proofErr w:type="spellEnd"/>
      <w:r>
        <w:t xml:space="preserve">, Linda, Stewart Cohen, </w:t>
      </w:r>
      <w:proofErr w:type="gramStart"/>
      <w:r>
        <w:t>et</w:t>
      </w:r>
      <w:proofErr w:type="gramEnd"/>
      <w:r>
        <w:t xml:space="preserve"> Grace </w:t>
      </w:r>
      <w:proofErr w:type="spellStart"/>
      <w:r>
        <w:t>Koshida</w:t>
      </w:r>
      <w:proofErr w:type="spellEnd"/>
      <w:r>
        <w:t>. 2015. « Climate and Water Availability Indicators in Canada: Challenges and a Way Forward. Part II – Historic Trends »</w:t>
      </w:r>
      <w:r>
        <w:t xml:space="preserve">. </w:t>
      </w:r>
      <w:r>
        <w:rPr>
          <w:i/>
        </w:rPr>
        <w:t xml:space="preserve">Canadian Water Resources Journal / Revue </w:t>
      </w:r>
      <w:proofErr w:type="spellStart"/>
      <w:r>
        <w:rPr>
          <w:i/>
        </w:rPr>
        <w:t>Canadienne</w:t>
      </w:r>
      <w:proofErr w:type="spellEnd"/>
      <w:r>
        <w:rPr>
          <w:i/>
        </w:rPr>
        <w:t xml:space="preserve"> Des </w:t>
      </w:r>
      <w:proofErr w:type="spellStart"/>
      <w:r>
        <w:rPr>
          <w:i/>
        </w:rPr>
        <w:t>Ressources</w:t>
      </w:r>
      <w:proofErr w:type="spellEnd"/>
      <w:r>
        <w:rPr>
          <w:i/>
        </w:rPr>
        <w:t xml:space="preserve"> </w:t>
      </w:r>
      <w:proofErr w:type="spellStart"/>
      <w:r>
        <w:rPr>
          <w:i/>
        </w:rPr>
        <w:t>Hydriques</w:t>
      </w:r>
      <w:proofErr w:type="spellEnd"/>
      <w:r>
        <w:t xml:space="preserve"> 40 (2): 146‑59.</w:t>
      </w:r>
      <w:hyperlink r:id="rId33">
        <w:r>
          <w:t xml:space="preserve"> </w:t>
        </w:r>
      </w:hyperlink>
      <w:hyperlink r:id="rId34">
        <w:r>
          <w:rPr>
            <w:color w:val="1155CC"/>
            <w:u w:val="single"/>
          </w:rPr>
          <w:t>https://doi.org/10.1080/0701178</w:t>
        </w:r>
        <w:r>
          <w:rPr>
            <w:color w:val="1155CC"/>
            <w:u w:val="single"/>
          </w:rPr>
          <w:t>4.2015.1006024</w:t>
        </w:r>
      </w:hyperlink>
      <w:r>
        <w:t>.</w:t>
      </w:r>
    </w:p>
    <w:p w:rsidR="00F26EEC" w:rsidRDefault="00DB5754">
      <w:pPr>
        <w:numPr>
          <w:ilvl w:val="0"/>
          <w:numId w:val="1"/>
        </w:numPr>
        <w:spacing w:line="324" w:lineRule="auto"/>
      </w:pPr>
      <w:r>
        <w:t xml:space="preserve">Nicolai-Shaw, Nadine, </w:t>
      </w:r>
      <w:proofErr w:type="spellStart"/>
      <w:r>
        <w:t>Jakob</w:t>
      </w:r>
      <w:proofErr w:type="spellEnd"/>
      <w:r>
        <w:t xml:space="preserve"> </w:t>
      </w:r>
      <w:proofErr w:type="spellStart"/>
      <w:r>
        <w:t>Zscheischler</w:t>
      </w:r>
      <w:proofErr w:type="spellEnd"/>
      <w:r>
        <w:t xml:space="preserve">, Martin </w:t>
      </w:r>
      <w:proofErr w:type="spellStart"/>
      <w:r>
        <w:t>Hirschi</w:t>
      </w:r>
      <w:proofErr w:type="spellEnd"/>
      <w:r>
        <w:t xml:space="preserve">, Lukas </w:t>
      </w:r>
      <w:proofErr w:type="spellStart"/>
      <w:r>
        <w:t>Gudmundsson</w:t>
      </w:r>
      <w:proofErr w:type="spellEnd"/>
      <w:r>
        <w:t xml:space="preserve">, </w:t>
      </w:r>
      <w:proofErr w:type="gramStart"/>
      <w:r>
        <w:t>et</w:t>
      </w:r>
      <w:proofErr w:type="gramEnd"/>
      <w:r>
        <w:t xml:space="preserve"> Sonia I. </w:t>
      </w:r>
      <w:proofErr w:type="spellStart"/>
      <w:r>
        <w:t>Seneviratne</w:t>
      </w:r>
      <w:proofErr w:type="spellEnd"/>
      <w:r>
        <w:t xml:space="preserve">. 2017. « A Drought Event Composite Analysis Using Satellite Remote-Sensing Based Soil Moisture ». </w:t>
      </w:r>
      <w:r>
        <w:rPr>
          <w:i/>
        </w:rPr>
        <w:t>Remote Sensing of Environment</w:t>
      </w:r>
      <w:r>
        <w:t xml:space="preserve"> 203 (</w:t>
      </w:r>
      <w:proofErr w:type="spellStart"/>
      <w:r>
        <w:t>décemb</w:t>
      </w:r>
      <w:r>
        <w:t>re</w:t>
      </w:r>
      <w:proofErr w:type="spellEnd"/>
      <w:r>
        <w:t>): 216‑25.</w:t>
      </w:r>
      <w:hyperlink r:id="rId35">
        <w:r>
          <w:t xml:space="preserve"> </w:t>
        </w:r>
      </w:hyperlink>
      <w:hyperlink r:id="rId36">
        <w:r>
          <w:rPr>
            <w:color w:val="1155CC"/>
            <w:u w:val="single"/>
          </w:rPr>
          <w:t>https://doi.org/10.1016/j.rse.2017.06.014</w:t>
        </w:r>
      </w:hyperlink>
      <w:r>
        <w:t>.</w:t>
      </w:r>
    </w:p>
    <w:p w:rsidR="00F26EEC" w:rsidRDefault="00DB5754">
      <w:pPr>
        <w:numPr>
          <w:ilvl w:val="0"/>
          <w:numId w:val="1"/>
        </w:numPr>
        <w:spacing w:line="324" w:lineRule="auto"/>
      </w:pPr>
      <w:r>
        <w:t xml:space="preserve">Ouyang, </w:t>
      </w:r>
      <w:proofErr w:type="spellStart"/>
      <w:r>
        <w:t>Zutao</w:t>
      </w:r>
      <w:proofErr w:type="spellEnd"/>
      <w:r>
        <w:t xml:space="preserve">, Richard Becker, Wade Shaver, </w:t>
      </w:r>
      <w:proofErr w:type="gramStart"/>
      <w:r>
        <w:t>et</w:t>
      </w:r>
      <w:proofErr w:type="gramEnd"/>
      <w:r>
        <w:t xml:space="preserve"> </w:t>
      </w:r>
      <w:proofErr w:type="spellStart"/>
      <w:r>
        <w:t>Jiquan</w:t>
      </w:r>
      <w:proofErr w:type="spellEnd"/>
      <w:r>
        <w:t xml:space="preserve"> Chen. 2014. « Evaluating</w:t>
      </w:r>
      <w:r>
        <w:t xml:space="preserve"> the Sensitivity of Wetlands to Climate Change with Remote Sensing Techniques: CLIMATE CHANGE SENSITIVITY OF WETLANDS FROM REMOTE SENSING ». </w:t>
      </w:r>
      <w:r>
        <w:rPr>
          <w:i/>
        </w:rPr>
        <w:t>Hydrological Processes</w:t>
      </w:r>
      <w:r>
        <w:t xml:space="preserve"> 28 (4): 1703‑12.</w:t>
      </w:r>
      <w:hyperlink r:id="rId37">
        <w:r>
          <w:t xml:space="preserve"> </w:t>
        </w:r>
      </w:hyperlink>
      <w:hyperlink r:id="rId38">
        <w:r>
          <w:rPr>
            <w:color w:val="1155CC"/>
            <w:u w:val="single"/>
          </w:rPr>
          <w:t>https://doi.org/10.1002/hyp.9685</w:t>
        </w:r>
      </w:hyperlink>
      <w:r>
        <w:t>.</w:t>
      </w:r>
    </w:p>
    <w:p w:rsidR="00F26EEC" w:rsidRDefault="00DB5754">
      <w:pPr>
        <w:numPr>
          <w:ilvl w:val="0"/>
          <w:numId w:val="1"/>
        </w:numPr>
        <w:spacing w:line="324" w:lineRule="auto"/>
      </w:pPr>
      <w:proofErr w:type="spellStart"/>
      <w:r w:rsidRPr="00A47BC6">
        <w:rPr>
          <w:lang w:val="fr-FR"/>
        </w:rPr>
        <w:lastRenderedPageBreak/>
        <w:t>Pinzon</w:t>
      </w:r>
      <w:proofErr w:type="spellEnd"/>
      <w:r w:rsidRPr="00A47BC6">
        <w:rPr>
          <w:lang w:val="fr-FR"/>
        </w:rPr>
        <w:t xml:space="preserve">, Jorge, et Compton Tucker. </w:t>
      </w:r>
      <w:r>
        <w:t xml:space="preserve">2014. « A Non-Stationary 1981–2012 AVHRR NDVI3g Time Series ». </w:t>
      </w:r>
      <w:r>
        <w:rPr>
          <w:i/>
        </w:rPr>
        <w:t>Remote Sensing</w:t>
      </w:r>
      <w:r>
        <w:t xml:space="preserve"> </w:t>
      </w:r>
      <w:proofErr w:type="gramStart"/>
      <w:r>
        <w:t>6</w:t>
      </w:r>
      <w:proofErr w:type="gramEnd"/>
      <w:r>
        <w:t xml:space="preserve"> (8): 6929‑60.</w:t>
      </w:r>
      <w:hyperlink r:id="rId39">
        <w:r>
          <w:t xml:space="preserve"> </w:t>
        </w:r>
      </w:hyperlink>
      <w:hyperlink r:id="rId40">
        <w:r>
          <w:rPr>
            <w:color w:val="1155CC"/>
            <w:u w:val="single"/>
          </w:rPr>
          <w:t>https://doi.org/10.3390/rs6086929</w:t>
        </w:r>
      </w:hyperlink>
      <w:r>
        <w:t>.</w:t>
      </w:r>
    </w:p>
    <w:p w:rsidR="00F26EEC" w:rsidRPr="00A47BC6" w:rsidRDefault="00DB5754">
      <w:pPr>
        <w:numPr>
          <w:ilvl w:val="0"/>
          <w:numId w:val="1"/>
        </w:numPr>
        <w:spacing w:line="324" w:lineRule="auto"/>
        <w:rPr>
          <w:lang w:val="fr-FR"/>
        </w:rPr>
      </w:pPr>
      <w:r>
        <w:t xml:space="preserve">Secretariat, Treasury Board of Canada, </w:t>
      </w:r>
      <w:proofErr w:type="gramStart"/>
      <w:r>
        <w:t>et</w:t>
      </w:r>
      <w:proofErr w:type="gramEnd"/>
      <w:r>
        <w:t xml:space="preserve"> Treasury Board of Canada Secretariat. s. d. « Palmer Drought Index - Open Government Portal ». </w:t>
      </w:r>
      <w:r w:rsidRPr="00A47BC6">
        <w:rPr>
          <w:lang w:val="fr-FR"/>
        </w:rPr>
        <w:t>Consulté le 21 février</w:t>
      </w:r>
      <w:r w:rsidRPr="00A47BC6">
        <w:rPr>
          <w:lang w:val="fr-FR"/>
        </w:rPr>
        <w:t xml:space="preserve"> 2021.</w:t>
      </w:r>
      <w:hyperlink r:id="rId41">
        <w:r w:rsidRPr="00A47BC6">
          <w:rPr>
            <w:lang w:val="fr-FR"/>
          </w:rPr>
          <w:t xml:space="preserve"> </w:t>
        </w:r>
      </w:hyperlink>
      <w:hyperlink r:id="rId42">
        <w:r w:rsidRPr="00A47BC6">
          <w:rPr>
            <w:color w:val="1155CC"/>
            <w:u w:val="single"/>
            <w:lang w:val="fr-FR"/>
          </w:rPr>
          <w:t>https://open.canada.ca/data/en/dataset/35b4153e-593f-47aa-9</w:t>
        </w:r>
        <w:r w:rsidRPr="00A47BC6">
          <w:rPr>
            <w:color w:val="1155CC"/>
            <w:u w:val="single"/>
            <w:lang w:val="fr-FR"/>
          </w:rPr>
          <w:t>1c0-c2f706382079</w:t>
        </w:r>
      </w:hyperlink>
      <w:r w:rsidRPr="00A47BC6">
        <w:rPr>
          <w:lang w:val="fr-FR"/>
        </w:rPr>
        <w:t>.</w:t>
      </w:r>
    </w:p>
    <w:p w:rsidR="00F26EEC" w:rsidRDefault="00DB5754">
      <w:pPr>
        <w:numPr>
          <w:ilvl w:val="0"/>
          <w:numId w:val="1"/>
        </w:numPr>
        <w:spacing w:line="324" w:lineRule="auto"/>
      </w:pPr>
      <w:r>
        <w:t xml:space="preserve">Shen, Samuel, Alan </w:t>
      </w:r>
      <w:proofErr w:type="spellStart"/>
      <w:r>
        <w:t>Basist</w:t>
      </w:r>
      <w:proofErr w:type="spellEnd"/>
      <w:r>
        <w:t xml:space="preserve">, </w:t>
      </w:r>
      <w:proofErr w:type="gramStart"/>
      <w:r>
        <w:t>et</w:t>
      </w:r>
      <w:proofErr w:type="gramEnd"/>
      <w:r>
        <w:t xml:space="preserve"> Allan Howard. 2010. « Structure of a Digital Agriculture System and Agricultural Risks Due to Climate Changes ». </w:t>
      </w:r>
      <w:r>
        <w:rPr>
          <w:i/>
        </w:rPr>
        <w:t>Agriculture and Agricultural Science Procedia</w:t>
      </w:r>
      <w:r>
        <w:t xml:space="preserve"> 1: 42‑51.</w:t>
      </w:r>
      <w:hyperlink r:id="rId43">
        <w:r>
          <w:t xml:space="preserve"> </w:t>
        </w:r>
      </w:hyperlink>
      <w:hyperlink r:id="rId44">
        <w:r>
          <w:rPr>
            <w:color w:val="1155CC"/>
            <w:u w:val="single"/>
          </w:rPr>
          <w:t>https://doi.org/10.1016/j.aaspro.2010.09.006</w:t>
        </w:r>
      </w:hyperlink>
      <w:r>
        <w:t>.</w:t>
      </w:r>
    </w:p>
    <w:p w:rsidR="00F26EEC" w:rsidRDefault="00DB5754">
      <w:pPr>
        <w:numPr>
          <w:ilvl w:val="0"/>
          <w:numId w:val="1"/>
        </w:numPr>
        <w:spacing w:line="324" w:lineRule="auto"/>
      </w:pPr>
      <w:r w:rsidRPr="00A47BC6">
        <w:rPr>
          <w:lang w:val="fr-FR"/>
        </w:rPr>
        <w:t xml:space="preserve">« </w:t>
      </w:r>
      <w:proofErr w:type="spellStart"/>
      <w:r w:rsidRPr="00A47BC6">
        <w:rPr>
          <w:lang w:val="fr-FR"/>
        </w:rPr>
        <w:t>Soil</w:t>
      </w:r>
      <w:proofErr w:type="spellEnd"/>
      <w:r w:rsidRPr="00A47BC6">
        <w:rPr>
          <w:lang w:val="fr-FR"/>
        </w:rPr>
        <w:t xml:space="preserve"> </w:t>
      </w:r>
      <w:proofErr w:type="spellStart"/>
      <w:r w:rsidRPr="00A47BC6">
        <w:rPr>
          <w:lang w:val="fr-FR"/>
        </w:rPr>
        <w:t>Moisture</w:t>
      </w:r>
      <w:proofErr w:type="spellEnd"/>
      <w:r w:rsidRPr="00A47BC6">
        <w:rPr>
          <w:lang w:val="fr-FR"/>
        </w:rPr>
        <w:t xml:space="preserve"> Data Sets: </w:t>
      </w:r>
      <w:proofErr w:type="spellStart"/>
      <w:r w:rsidRPr="00A47BC6">
        <w:rPr>
          <w:lang w:val="fr-FR"/>
        </w:rPr>
        <w:t>Overview</w:t>
      </w:r>
      <w:proofErr w:type="spellEnd"/>
      <w:r w:rsidRPr="00A47BC6">
        <w:rPr>
          <w:lang w:val="fr-FR"/>
        </w:rPr>
        <w:t xml:space="preserve"> &amp; </w:t>
      </w:r>
      <w:proofErr w:type="spellStart"/>
      <w:r w:rsidRPr="00A47BC6">
        <w:rPr>
          <w:lang w:val="fr-FR"/>
        </w:rPr>
        <w:t>Comparison</w:t>
      </w:r>
      <w:proofErr w:type="spellEnd"/>
      <w:r w:rsidRPr="00A47BC6">
        <w:rPr>
          <w:lang w:val="fr-FR"/>
        </w:rPr>
        <w:t xml:space="preserve"> Tables | NCAR - </w:t>
      </w:r>
      <w:proofErr w:type="spellStart"/>
      <w:r w:rsidRPr="00A47BC6">
        <w:rPr>
          <w:lang w:val="fr-FR"/>
        </w:rPr>
        <w:t>Climate</w:t>
      </w:r>
      <w:proofErr w:type="spellEnd"/>
      <w:r w:rsidRPr="00A47BC6">
        <w:rPr>
          <w:lang w:val="fr-FR"/>
        </w:rPr>
        <w:t xml:space="preserve"> Data Guide ». s. d. Consulté le 20 février 2021.</w:t>
      </w:r>
      <w:hyperlink r:id="rId45">
        <w:r w:rsidRPr="00A47BC6">
          <w:rPr>
            <w:lang w:val="fr-FR"/>
          </w:rPr>
          <w:t xml:space="preserve"> </w:t>
        </w:r>
      </w:hyperlink>
      <w:hyperlink r:id="rId46">
        <w:r>
          <w:rPr>
            <w:color w:val="1155CC"/>
            <w:u w:val="single"/>
          </w:rPr>
          <w:t>https://climatedatagu</w:t>
        </w:r>
        <w:r>
          <w:rPr>
            <w:color w:val="1155CC"/>
            <w:u w:val="single"/>
          </w:rPr>
          <w:t>ide.ucar.edu/climate-data/soil-moisture-data-sets-overview-comparison-tables</w:t>
        </w:r>
      </w:hyperlink>
      <w:r>
        <w:t>.</w:t>
      </w:r>
    </w:p>
    <w:p w:rsidR="00F26EEC" w:rsidRDefault="00DB5754">
      <w:pPr>
        <w:numPr>
          <w:ilvl w:val="0"/>
          <w:numId w:val="1"/>
        </w:numPr>
        <w:spacing w:line="324" w:lineRule="auto"/>
      </w:pPr>
      <w:r w:rsidRPr="00A47BC6">
        <w:rPr>
          <w:lang w:val="fr-FR"/>
        </w:rPr>
        <w:t xml:space="preserve">Wheaton, Elaine, et </w:t>
      </w:r>
      <w:proofErr w:type="spellStart"/>
      <w:r w:rsidRPr="00A47BC6">
        <w:rPr>
          <w:lang w:val="fr-FR"/>
        </w:rPr>
        <w:t>Suren</w:t>
      </w:r>
      <w:proofErr w:type="spellEnd"/>
      <w:r w:rsidRPr="00A47BC6">
        <w:rPr>
          <w:lang w:val="fr-FR"/>
        </w:rPr>
        <w:t xml:space="preserve"> </w:t>
      </w:r>
      <w:proofErr w:type="spellStart"/>
      <w:r w:rsidRPr="00A47BC6">
        <w:rPr>
          <w:lang w:val="fr-FR"/>
        </w:rPr>
        <w:t>Kulshreshtha</w:t>
      </w:r>
      <w:proofErr w:type="spellEnd"/>
      <w:r w:rsidRPr="00A47BC6">
        <w:rPr>
          <w:lang w:val="fr-FR"/>
        </w:rPr>
        <w:t xml:space="preserve">. </w:t>
      </w:r>
      <w:r>
        <w:t xml:space="preserve">2017. « Environmental Sustainability of Agriculture Stressed by Changing Extremes of Drought and Excess Moisture: A Conceptual Review ». </w:t>
      </w:r>
      <w:r>
        <w:rPr>
          <w:i/>
        </w:rPr>
        <w:t>S</w:t>
      </w:r>
      <w:r>
        <w:rPr>
          <w:i/>
        </w:rPr>
        <w:t>ustainability</w:t>
      </w:r>
      <w:r>
        <w:t xml:space="preserve"> 9 (6): 970.</w:t>
      </w:r>
      <w:hyperlink r:id="rId47">
        <w:r>
          <w:t xml:space="preserve"> </w:t>
        </w:r>
      </w:hyperlink>
      <w:hyperlink r:id="rId48">
        <w:r>
          <w:rPr>
            <w:color w:val="1155CC"/>
            <w:u w:val="single"/>
          </w:rPr>
          <w:t>https://doi.org/10.3390/su9060970</w:t>
        </w:r>
      </w:hyperlink>
      <w:r>
        <w:t>.</w:t>
      </w:r>
    </w:p>
    <w:p w:rsidR="00F26EEC" w:rsidRDefault="00DB5754">
      <w:pPr>
        <w:numPr>
          <w:ilvl w:val="0"/>
          <w:numId w:val="1"/>
        </w:numPr>
        <w:spacing w:line="324" w:lineRule="auto"/>
      </w:pPr>
      <w:r>
        <w:t xml:space="preserve">Yang, Jun, Peng Gong, </w:t>
      </w:r>
      <w:proofErr w:type="spellStart"/>
      <w:r>
        <w:t>Rong</w:t>
      </w:r>
      <w:proofErr w:type="spellEnd"/>
      <w:r>
        <w:t xml:space="preserve"> Fu, </w:t>
      </w:r>
      <w:proofErr w:type="spellStart"/>
      <w:r>
        <w:t>Minghua</w:t>
      </w:r>
      <w:proofErr w:type="spellEnd"/>
      <w:r>
        <w:t xml:space="preserve"> Zhang, </w:t>
      </w:r>
      <w:proofErr w:type="spellStart"/>
      <w:r>
        <w:t>Jingming</w:t>
      </w:r>
      <w:proofErr w:type="spellEnd"/>
      <w:r>
        <w:t xml:space="preserve"> Chen, </w:t>
      </w:r>
      <w:proofErr w:type="spellStart"/>
      <w:r>
        <w:t>Shunlin</w:t>
      </w:r>
      <w:proofErr w:type="spellEnd"/>
      <w:r>
        <w:t xml:space="preserve"> Liang, Bing Xu, </w:t>
      </w:r>
      <w:proofErr w:type="spellStart"/>
      <w:r>
        <w:t>Jian</w:t>
      </w:r>
      <w:r>
        <w:t>cheng</w:t>
      </w:r>
      <w:proofErr w:type="spellEnd"/>
      <w:r>
        <w:t xml:space="preserve"> Shi, et Robert Dickinson. 2013. « The Role of Satellite Remote Sensing in Climate Change Studies ». </w:t>
      </w:r>
      <w:r>
        <w:rPr>
          <w:i/>
        </w:rPr>
        <w:t>Nature Climate Change</w:t>
      </w:r>
      <w:r>
        <w:t xml:space="preserve"> 3 (10): 875‑83.</w:t>
      </w:r>
      <w:hyperlink r:id="rId49">
        <w:r>
          <w:t xml:space="preserve"> </w:t>
        </w:r>
      </w:hyperlink>
      <w:hyperlink r:id="rId50">
        <w:r>
          <w:rPr>
            <w:color w:val="1155CC"/>
            <w:u w:val="single"/>
          </w:rPr>
          <w:t>https://doi.org/10.1038/nclimate1908</w:t>
        </w:r>
      </w:hyperlink>
      <w:r>
        <w:t>.</w:t>
      </w:r>
    </w:p>
    <w:p w:rsidR="00F26EEC" w:rsidRDefault="00DB5754">
      <w:pPr>
        <w:numPr>
          <w:ilvl w:val="0"/>
          <w:numId w:val="1"/>
        </w:numPr>
        <w:spacing w:line="324" w:lineRule="auto"/>
      </w:pPr>
      <w:proofErr w:type="spellStart"/>
      <w:r>
        <w:t>Yusa</w:t>
      </w:r>
      <w:proofErr w:type="spellEnd"/>
      <w:r>
        <w:t xml:space="preserve">, Anna, Peter Berry, June </w:t>
      </w:r>
      <w:proofErr w:type="spellStart"/>
      <w:r>
        <w:t>J.Cheng</w:t>
      </w:r>
      <w:proofErr w:type="spellEnd"/>
      <w:r>
        <w:t xml:space="preserve">, Nicholas Ogden, Barrie </w:t>
      </w:r>
      <w:proofErr w:type="spellStart"/>
      <w:r>
        <w:t>Bonsal</w:t>
      </w:r>
      <w:proofErr w:type="spellEnd"/>
      <w:r>
        <w:t xml:space="preserve">, Ronald Stewart, </w:t>
      </w:r>
      <w:proofErr w:type="gramStart"/>
      <w:r>
        <w:t>et</w:t>
      </w:r>
      <w:proofErr w:type="gramEnd"/>
      <w:r>
        <w:t xml:space="preserve"> Ruth </w:t>
      </w:r>
      <w:proofErr w:type="spellStart"/>
      <w:r>
        <w:t>Waldick</w:t>
      </w:r>
      <w:proofErr w:type="spellEnd"/>
      <w:r>
        <w:t xml:space="preserve">. 2015. « Climate Change, Drought and Human Health in Canada ». </w:t>
      </w:r>
      <w:r>
        <w:rPr>
          <w:i/>
        </w:rPr>
        <w:t>International Journal of Environmental Research and P</w:t>
      </w:r>
      <w:r>
        <w:rPr>
          <w:i/>
        </w:rPr>
        <w:t>ublic Health</w:t>
      </w:r>
      <w:r>
        <w:t xml:space="preserve"> 12 (7): 8359‑8412.</w:t>
      </w:r>
      <w:hyperlink r:id="rId51">
        <w:r>
          <w:t xml:space="preserve"> </w:t>
        </w:r>
      </w:hyperlink>
      <w:hyperlink r:id="rId52">
        <w:r>
          <w:rPr>
            <w:color w:val="1155CC"/>
            <w:u w:val="single"/>
          </w:rPr>
          <w:t>https://doi.org/10.3390/ijerph120708359</w:t>
        </w:r>
      </w:hyperlink>
      <w:r>
        <w:t>.</w:t>
      </w:r>
    </w:p>
    <w:p w:rsidR="00F26EEC" w:rsidRDefault="00DB5754">
      <w:pPr>
        <w:numPr>
          <w:ilvl w:val="0"/>
          <w:numId w:val="1"/>
        </w:numPr>
        <w:spacing w:line="324" w:lineRule="auto"/>
      </w:pPr>
      <w:r>
        <w:t>Zhang, Yu-</w:t>
      </w:r>
      <w:proofErr w:type="spellStart"/>
      <w:r>
        <w:t>quan</w:t>
      </w:r>
      <w:proofErr w:type="spellEnd"/>
      <w:r>
        <w:t>, Yong-</w:t>
      </w:r>
      <w:proofErr w:type="spellStart"/>
      <w:r>
        <w:t>xia</w:t>
      </w:r>
      <w:proofErr w:type="spellEnd"/>
      <w:r>
        <w:t xml:space="preserve"> </w:t>
      </w:r>
      <w:proofErr w:type="spellStart"/>
      <w:proofErr w:type="gramStart"/>
      <w:r>
        <w:t>Cai</w:t>
      </w:r>
      <w:proofErr w:type="spellEnd"/>
      <w:proofErr w:type="gramEnd"/>
      <w:r>
        <w:t xml:space="preserve">, Robert H Beach, et Bruce A </w:t>
      </w:r>
      <w:proofErr w:type="spellStart"/>
      <w:r>
        <w:t>McCARL</w:t>
      </w:r>
      <w:proofErr w:type="spellEnd"/>
      <w:r>
        <w:t xml:space="preserve">. 2014. « Modeling Climate Change Impacts on the US Agricultural Exports ». </w:t>
      </w:r>
      <w:r>
        <w:rPr>
          <w:i/>
        </w:rPr>
        <w:t>Journal of Integrative Agriculture</w:t>
      </w:r>
      <w:r>
        <w:t xml:space="preserve"> 13 (4): 666‑76.</w:t>
      </w:r>
      <w:hyperlink r:id="rId53">
        <w:r>
          <w:t xml:space="preserve"> </w:t>
        </w:r>
      </w:hyperlink>
      <w:hyperlink r:id="rId54">
        <w:r>
          <w:rPr>
            <w:color w:val="1155CC"/>
            <w:u w:val="single"/>
          </w:rPr>
          <w:t>https://doi.org/10.1016/S2095-3119(13)60699-1</w:t>
        </w:r>
      </w:hyperlink>
      <w:r>
        <w:t>.</w:t>
      </w:r>
    </w:p>
    <w:sectPr w:rsidR="00F26EEC">
      <w:headerReference w:type="default" r:id="rId55"/>
      <w:footerReference w:type="default" r:id="rId56"/>
      <w:footerReference w:type="first" r:id="rId57"/>
      <w:pgSz w:w="12240" w:h="15840"/>
      <w:pgMar w:top="1133" w:right="1440" w:bottom="113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754" w:rsidRDefault="00DB5754">
      <w:pPr>
        <w:spacing w:line="240" w:lineRule="auto"/>
      </w:pPr>
      <w:r>
        <w:separator/>
      </w:r>
    </w:p>
  </w:endnote>
  <w:endnote w:type="continuationSeparator" w:id="0">
    <w:p w:rsidR="00DB5754" w:rsidRDefault="00DB5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EC" w:rsidRDefault="00DB5754">
    <w:pPr>
      <w:jc w:val="right"/>
    </w:pPr>
    <w:r>
      <w:fldChar w:fldCharType="begin"/>
    </w:r>
    <w:r>
      <w:instrText>PAGE</w:instrText>
    </w:r>
    <w:r w:rsidR="00A47BC6">
      <w:fldChar w:fldCharType="separate"/>
    </w:r>
    <w:r w:rsidR="00A47BC6">
      <w:rPr>
        <w:noProof/>
      </w:rPr>
      <w:t>12</w:t>
    </w:r>
    <w:r>
      <w:fldChar w:fldCharType="end"/>
    </w:r>
    <w:r>
      <w:t>/</w:t>
    </w:r>
    <w:r>
      <w:fldChar w:fldCharType="begin"/>
    </w:r>
    <w:r>
      <w:instrText>NUMPAGES</w:instrText>
    </w:r>
    <w:r w:rsidR="00A47BC6">
      <w:fldChar w:fldCharType="separate"/>
    </w:r>
    <w:r w:rsidR="00A47BC6">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EC" w:rsidRDefault="00F26EE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754" w:rsidRDefault="00DB5754">
      <w:pPr>
        <w:spacing w:line="240" w:lineRule="auto"/>
      </w:pPr>
      <w:r>
        <w:separator/>
      </w:r>
    </w:p>
  </w:footnote>
  <w:footnote w:type="continuationSeparator" w:id="0">
    <w:p w:rsidR="00DB5754" w:rsidRDefault="00DB5754">
      <w:pPr>
        <w:spacing w:line="240" w:lineRule="auto"/>
      </w:pPr>
      <w:r>
        <w:continuationSeparator/>
      </w:r>
    </w:p>
  </w:footnote>
  <w:footnote w:id="1">
    <w:p w:rsidR="00F26EEC" w:rsidRDefault="00DB5754">
      <w:pPr>
        <w:spacing w:line="240" w:lineRule="auto"/>
        <w:rPr>
          <w:sz w:val="20"/>
          <w:szCs w:val="20"/>
        </w:rPr>
      </w:pPr>
      <w:r>
        <w:rPr>
          <w:vertAlign w:val="superscript"/>
        </w:rPr>
        <w:footnoteRef/>
      </w:r>
      <w:r>
        <w:rPr>
          <w:sz w:val="20"/>
          <w:szCs w:val="20"/>
        </w:rPr>
        <w:t>Essential Climate Variables (ECV)</w:t>
      </w:r>
    </w:p>
    <w:p w:rsidR="00F26EEC" w:rsidRDefault="00DB5754">
      <w:pPr>
        <w:spacing w:line="240" w:lineRule="auto"/>
        <w:rPr>
          <w:sz w:val="20"/>
          <w:szCs w:val="20"/>
        </w:rPr>
      </w:pPr>
      <w:r>
        <w:rPr>
          <w:sz w:val="20"/>
          <w:szCs w:val="20"/>
        </w:rPr>
        <w:t xml:space="preserve"> </w:t>
      </w:r>
      <w:hyperlink r:id="rId1">
        <w:r>
          <w:rPr>
            <w:color w:val="1155CC"/>
            <w:sz w:val="20"/>
            <w:szCs w:val="20"/>
            <w:u w:val="single"/>
          </w:rPr>
          <w:t>https://public.wmo.int/en/programmes/global</w:t>
        </w:r>
        <w:r>
          <w:rPr>
            <w:color w:val="1155CC"/>
            <w:sz w:val="20"/>
            <w:szCs w:val="20"/>
            <w:u w:val="single"/>
          </w:rPr>
          <w:t>-climate-observing-system/essential-climate-variables</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EC" w:rsidRPr="00A47BC6" w:rsidRDefault="00DB5754">
    <w:pPr>
      <w:tabs>
        <w:tab w:val="center" w:pos="4320"/>
      </w:tabs>
      <w:jc w:val="left"/>
      <w:rPr>
        <w:sz w:val="16"/>
        <w:szCs w:val="16"/>
        <w:lang w:val="fr-FR"/>
      </w:rPr>
    </w:pPr>
    <w:r w:rsidRPr="00A47BC6">
      <w:rPr>
        <w:sz w:val="16"/>
        <w:szCs w:val="16"/>
        <w:lang w:val="fr-FR"/>
      </w:rPr>
      <w:t>Le Falher Vincent, lefv2603</w:t>
    </w: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 xml:space="preserve">     </w:t>
    </w:r>
    <w:r w:rsidRPr="00A47BC6">
      <w:rPr>
        <w:sz w:val="16"/>
        <w:szCs w:val="16"/>
        <w:lang w:val="fr-FR"/>
      </w:rPr>
      <w:t>GAE710 Session d’hiver 2021</w:t>
    </w:r>
  </w:p>
  <w:p w:rsidR="00F26EEC" w:rsidRDefault="00DB5754">
    <w:pPr>
      <w:tabs>
        <w:tab w:val="center" w:pos="4320"/>
      </w:tabs>
      <w:jc w:val="right"/>
      <w:rPr>
        <w:sz w:val="16"/>
        <w:szCs w:val="16"/>
      </w:rPr>
    </w:pP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ab/>
    </w:r>
    <w:r w:rsidRPr="00A47BC6">
      <w:rPr>
        <w:sz w:val="16"/>
        <w:szCs w:val="16"/>
        <w:lang w:val="fr-FR"/>
      </w:rPr>
      <w:t xml:space="preserve">              </w:t>
    </w:r>
    <w:r>
      <w:rPr>
        <w:sz w:val="16"/>
        <w:szCs w:val="16"/>
      </w:rPr>
      <w:t xml:space="preserve">Proposition de </w:t>
    </w:r>
    <w:proofErr w:type="spellStart"/>
    <w:r>
      <w:rPr>
        <w:sz w:val="16"/>
        <w:szCs w:val="16"/>
      </w:rPr>
      <w:t>recherche</w:t>
    </w:r>
    <w:proofErr w:type="spellEnd"/>
  </w:p>
  <w:p w:rsidR="00F26EEC" w:rsidRDefault="00DB5754">
    <w:pPr>
      <w:tabs>
        <w:tab w:val="center" w:pos="4320"/>
      </w:tabs>
      <w:jc w:val="right"/>
      <w:rPr>
        <w:sz w:val="16"/>
        <w:szCs w:val="16"/>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77440"/>
    <w:multiLevelType w:val="multilevel"/>
    <w:tmpl w:val="1EDEB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F77564"/>
    <w:multiLevelType w:val="multilevel"/>
    <w:tmpl w:val="79042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EC"/>
    <w:rsid w:val="00A47BC6"/>
    <w:rsid w:val="00DB5754"/>
    <w:rsid w:val="00F26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2C997"/>
  <w15:docId w15:val="{C24FF374-8CBD-48CB-9145-8D78F1C0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CA"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47BC6"/>
    <w:pPr>
      <w:spacing w:after="100"/>
    </w:pPr>
  </w:style>
  <w:style w:type="paragraph" w:styleId="TOC2">
    <w:name w:val="toc 2"/>
    <w:basedOn w:val="Normal"/>
    <w:next w:val="Normal"/>
    <w:autoRedefine/>
    <w:uiPriority w:val="39"/>
    <w:unhideWhenUsed/>
    <w:rsid w:val="00A47BC6"/>
    <w:pPr>
      <w:spacing w:after="100"/>
      <w:ind w:left="240"/>
    </w:pPr>
  </w:style>
  <w:style w:type="character" w:styleId="Hyperlink">
    <w:name w:val="Hyperlink"/>
    <w:basedOn w:val="DefaultParagraphFont"/>
    <w:uiPriority w:val="99"/>
    <w:unhideWhenUsed/>
    <w:rsid w:val="00A47BC6"/>
    <w:rPr>
      <w:color w:val="0000FF" w:themeColor="hyperlink"/>
      <w:u w:val="single"/>
    </w:rPr>
  </w:style>
  <w:style w:type="paragraph" w:styleId="Header">
    <w:name w:val="header"/>
    <w:basedOn w:val="Normal"/>
    <w:link w:val="HeaderChar"/>
    <w:uiPriority w:val="99"/>
    <w:unhideWhenUsed/>
    <w:rsid w:val="00A47BC6"/>
    <w:pPr>
      <w:tabs>
        <w:tab w:val="center" w:pos="4680"/>
        <w:tab w:val="right" w:pos="9360"/>
      </w:tabs>
      <w:spacing w:line="240" w:lineRule="auto"/>
    </w:pPr>
  </w:style>
  <w:style w:type="character" w:customStyle="1" w:styleId="HeaderChar">
    <w:name w:val="Header Char"/>
    <w:basedOn w:val="DefaultParagraphFont"/>
    <w:link w:val="Header"/>
    <w:uiPriority w:val="99"/>
    <w:rsid w:val="00A47BC6"/>
  </w:style>
  <w:style w:type="paragraph" w:styleId="Footer">
    <w:name w:val="footer"/>
    <w:basedOn w:val="Normal"/>
    <w:link w:val="FooterChar"/>
    <w:uiPriority w:val="99"/>
    <w:unhideWhenUsed/>
    <w:rsid w:val="00A47BC6"/>
    <w:pPr>
      <w:tabs>
        <w:tab w:val="center" w:pos="4680"/>
        <w:tab w:val="right" w:pos="9360"/>
      </w:tabs>
      <w:spacing w:line="240" w:lineRule="auto"/>
    </w:pPr>
  </w:style>
  <w:style w:type="character" w:customStyle="1" w:styleId="FooterChar">
    <w:name w:val="Footer Char"/>
    <w:basedOn w:val="DefaultParagraphFont"/>
    <w:link w:val="Footer"/>
    <w:uiPriority w:val="99"/>
    <w:rsid w:val="00A4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r.gc.ca/eng/agriculture-and-the-environment/agricultural-practices/climate-change-and-agriculture/climate-scenarios-for-agriculture/?id=1329321981630" TargetMode="External"/><Relationship Id="rId18" Type="http://schemas.openxmlformats.org/officeDocument/2006/relationships/hyperlink" Target="https://doi.org/10.1080/07011784.2015.1006021" TargetMode="External"/><Relationship Id="rId26" Type="http://schemas.openxmlformats.org/officeDocument/2006/relationships/hyperlink" Target="https://doi.org/10.5194/essd-11-717-2019" TargetMode="External"/><Relationship Id="rId39" Type="http://schemas.openxmlformats.org/officeDocument/2006/relationships/hyperlink" Target="https://doi.org/10.3390/rs6086929" TargetMode="External"/><Relationship Id="rId21" Type="http://schemas.openxmlformats.org/officeDocument/2006/relationships/hyperlink" Target="https://www.nrcan.gc.ca/climate-change/impacts-adaptations/climate-change-impacts-forests/forest-change-indicators/drought/17772" TargetMode="External"/><Relationship Id="rId34" Type="http://schemas.openxmlformats.org/officeDocument/2006/relationships/hyperlink" Target="https://doi.org/10.1080/07011784.2015.1006024" TargetMode="External"/><Relationship Id="rId42" Type="http://schemas.openxmlformats.org/officeDocument/2006/relationships/hyperlink" Target="https://open.canada.ca/data/en/dataset/35b4153e-593f-47aa-91c0-c2f706382079" TargetMode="External"/><Relationship Id="rId47" Type="http://schemas.openxmlformats.org/officeDocument/2006/relationships/hyperlink" Target="https://doi.org/10.3390/su9060970" TargetMode="External"/><Relationship Id="rId50" Type="http://schemas.openxmlformats.org/officeDocument/2006/relationships/hyperlink" Target="https://doi.org/10.1038/nclimate1908" TargetMode="External"/><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i.org/10.1175/JHM-D-14-0039.1" TargetMode="External"/><Relationship Id="rId17" Type="http://schemas.openxmlformats.org/officeDocument/2006/relationships/hyperlink" Target="https://doi.org/10.1080/07011784.2015.1006021" TargetMode="External"/><Relationship Id="rId25" Type="http://schemas.openxmlformats.org/officeDocument/2006/relationships/hyperlink" Target="https://doi.org/10.5194/essd-11-717-2019" TargetMode="External"/><Relationship Id="rId33" Type="http://schemas.openxmlformats.org/officeDocument/2006/relationships/hyperlink" Target="https://doi.org/10.1080/07011784.2015.1006024" TargetMode="External"/><Relationship Id="rId38" Type="http://schemas.openxmlformats.org/officeDocument/2006/relationships/hyperlink" Target="https://doi.org/10.1002/hyp.9685" TargetMode="External"/><Relationship Id="rId46" Type="http://schemas.openxmlformats.org/officeDocument/2006/relationships/hyperlink" Target="https://climatedataguide.ucar.edu/climate-data/soil-moisture-data-sets-overview-comparison-table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tlasclimatique.ca/variables" TargetMode="External"/><Relationship Id="rId20" Type="http://schemas.openxmlformats.org/officeDocument/2006/relationships/hyperlink" Target="https://www.agr.gc.ca/atlas/supportdocument_documentdesupport/circa2000Landcover/fr/Couverture_des_terres_des_regions_agricoles_du_Canada_vers_l_an_2000_Specifications_de_contenu_informationnel_produites_conformement_a_la.pdf" TargetMode="External"/><Relationship Id="rId29" Type="http://schemas.openxmlformats.org/officeDocument/2006/relationships/hyperlink" Target="https://doi.org/10.1080/07011784.2015.1006023" TargetMode="External"/><Relationship Id="rId41" Type="http://schemas.openxmlformats.org/officeDocument/2006/relationships/hyperlink" Target="https://open.canada.ca/data/en/dataset/35b4153e-593f-47aa-91c0-c2f706382079" TargetMode="External"/><Relationship Id="rId54" Type="http://schemas.openxmlformats.org/officeDocument/2006/relationships/hyperlink" Target="https://doi.org/10.1016/S2095-3119(13)6069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5/JHM-D-14-0039.1" TargetMode="External"/><Relationship Id="rId24" Type="http://schemas.openxmlformats.org/officeDocument/2006/relationships/hyperlink" Target="https://www.esa-soilmoisture-cci.org/sites/default/files/documents/public/CCI%20SM%20v05.2%20documentation/ESA_CCI_SM_RD_D2.1_v1_ATBD_v05.2.pdf" TargetMode="External"/><Relationship Id="rId32" Type="http://schemas.openxmlformats.org/officeDocument/2006/relationships/hyperlink" Target="https://doi.org/10.1111/j.1744-7976.2010.01211.x" TargetMode="External"/><Relationship Id="rId37" Type="http://schemas.openxmlformats.org/officeDocument/2006/relationships/hyperlink" Target="https://doi.org/10.1002/hyp.9685" TargetMode="External"/><Relationship Id="rId40" Type="http://schemas.openxmlformats.org/officeDocument/2006/relationships/hyperlink" Target="https://doi.org/10.3390/rs6086929" TargetMode="External"/><Relationship Id="rId45" Type="http://schemas.openxmlformats.org/officeDocument/2006/relationships/hyperlink" Target="https://climatedataguide.ucar.edu/climate-data/soil-moisture-data-sets-overview-comparison-tables" TargetMode="External"/><Relationship Id="rId53" Type="http://schemas.openxmlformats.org/officeDocument/2006/relationships/hyperlink" Target="https://doi.org/10.1016/S2095-3119(13)60699-1"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tlasclimatique.ca/variables" TargetMode="External"/><Relationship Id="rId23" Type="http://schemas.openxmlformats.org/officeDocument/2006/relationships/hyperlink" Target="https://www.esa-soilmoisture-cci.org/sites/default/files/documents/public/CCI%20SM%20v05.2%20documentation/ESA_CCI_SM_RD_D2.1_v1_ATBD_v05.2.pdf" TargetMode="External"/><Relationship Id="rId28" Type="http://schemas.openxmlformats.org/officeDocument/2006/relationships/hyperlink" Target="https://doi.org/10.1016/j.ecolind.2014.07.008" TargetMode="External"/><Relationship Id="rId36" Type="http://schemas.openxmlformats.org/officeDocument/2006/relationships/hyperlink" Target="https://doi.org/10.1016/j.rse.2017.06.014" TargetMode="External"/><Relationship Id="rId49" Type="http://schemas.openxmlformats.org/officeDocument/2006/relationships/hyperlink" Target="https://doi.org/10.1038/nclimate1908" TargetMode="External"/><Relationship Id="rId57" Type="http://schemas.openxmlformats.org/officeDocument/2006/relationships/footer" Target="footer2.xml"/><Relationship Id="rId10" Type="http://schemas.openxmlformats.org/officeDocument/2006/relationships/hyperlink" Target="https://doi.org/10.1080/07055900.2011.555103" TargetMode="External"/><Relationship Id="rId19" Type="http://schemas.openxmlformats.org/officeDocument/2006/relationships/hyperlink" Target="https://www.agr.gc.ca/atlas/supportdocument_documentdesupport/circa2000Landcover/fr/Couverture_des_terres_des_regions_agricoles_du_Canada_vers_l_an_2000_Specifications_de_contenu_informationnel_produites_conformement_a_la.pdf" TargetMode="External"/><Relationship Id="rId31" Type="http://schemas.openxmlformats.org/officeDocument/2006/relationships/hyperlink" Target="https://doi.org/10.1111/j.1744-7976.2010.01211.x" TargetMode="External"/><Relationship Id="rId44" Type="http://schemas.openxmlformats.org/officeDocument/2006/relationships/hyperlink" Target="https://doi.org/10.1016/j.aaspro.2010.09.006" TargetMode="External"/><Relationship Id="rId52" Type="http://schemas.openxmlformats.org/officeDocument/2006/relationships/hyperlink" Target="https://doi.org/10.3390/ijerph120708359" TargetMode="External"/><Relationship Id="rId4" Type="http://schemas.openxmlformats.org/officeDocument/2006/relationships/webSettings" Target="webSettings.xml"/><Relationship Id="rId9" Type="http://schemas.openxmlformats.org/officeDocument/2006/relationships/hyperlink" Target="https://doi.org/10.1080/07055900.2011.555103" TargetMode="External"/><Relationship Id="rId14" Type="http://schemas.openxmlformats.org/officeDocument/2006/relationships/hyperlink" Target="https://www.agr.gc.ca/eng/agriculture-and-the-environment/agricultural-practices/climate-change-and-agriculture/climate-scenarios-for-agriculture/?id=1329321981630" TargetMode="External"/><Relationship Id="rId22" Type="http://schemas.openxmlformats.org/officeDocument/2006/relationships/hyperlink" Target="https://www.nrcan.gc.ca/climate-change/impacts-adaptations/climate-change-impacts-forests/forest-change-indicators/drought/17772" TargetMode="External"/><Relationship Id="rId27" Type="http://schemas.openxmlformats.org/officeDocument/2006/relationships/hyperlink" Target="https://doi.org/10.1016/j.ecolind.2014.07.008" TargetMode="External"/><Relationship Id="rId30" Type="http://schemas.openxmlformats.org/officeDocument/2006/relationships/hyperlink" Target="https://doi.org/10.1080/07011784.2015.1006023" TargetMode="External"/><Relationship Id="rId35" Type="http://schemas.openxmlformats.org/officeDocument/2006/relationships/hyperlink" Target="https://doi.org/10.1016/j.rse.2017.06.014" TargetMode="External"/><Relationship Id="rId43" Type="http://schemas.openxmlformats.org/officeDocument/2006/relationships/hyperlink" Target="https://doi.org/10.1016/j.aaspro.2010.09.006" TargetMode="External"/><Relationship Id="rId48" Type="http://schemas.openxmlformats.org/officeDocument/2006/relationships/hyperlink" Target="https://doi.org/10.3390/su9060970"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doi.org/10.3390/ijerph120708359"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public.wmo.int/en/programmes/global-climate-observing-system/essential-climate-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Falher, Vincent</cp:lastModifiedBy>
  <cp:revision>3</cp:revision>
  <cp:lastPrinted>2021-02-25T04:46:00Z</cp:lastPrinted>
  <dcterms:created xsi:type="dcterms:W3CDTF">2021-02-25T04:40:00Z</dcterms:created>
  <dcterms:modified xsi:type="dcterms:W3CDTF">2021-02-25T04:47:00Z</dcterms:modified>
</cp:coreProperties>
</file>