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A detail I noticed from playing the game, tic-tac-toe is that it is not like Final Fantasy. It is not fun. I jest, because I do not have friends to play tic-tac-toe with, however, I can say from experience that I feel that going first and taking the middle cell is very important in securing a win, if you secure a win at all. There are 3 possible outcomes for the game. A winner for cross, a winner for circle, or a tie.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To check if someone has won the game, you need to check for 8 possibilities. You can check them using if statements that grab states from cells to see if 3 of the cells (column, row, or diagonal) all have the same state (ie: all circles in a row). It’s a tedious process but it should get the job done.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After completing my tic-tac-toe game, I can safely say that I have dealt with every possible outcome for the game to end. Full vertical and horizontal checks were relatively easy to add. Diagonal got a little funky but once you grasp the concept, it’s not hard to create another check function. I even streamlined the process for vertical and horizontal checks using a for loop (bless for loops).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A bug I’ve found in my game is that once in a blue moon, Ann, my AI will not make the correct decision and will go off on her own and fail to deny a win. This is due to the nature of if-statements and their hierarchy. I will fix this issue in the expansion pack, due for the summer of 2018.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pageBreakBefore w:val="0"/>
      <w:jc w:val="left"/>
      <w:rPr>
        <w:rFonts w:ascii="Open Sans" w:cs="Open Sans" w:eastAsia="Open Sans" w:hAnsi="Open Sans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pageBreakBefore w:val="0"/>
      <w:jc w:val="center"/>
      <w:rPr>
        <w:rFonts w:ascii="Open Sans" w:cs="Open Sans" w:eastAsia="Open Sans" w:hAnsi="Open Sans"/>
        <w:b w:val="1"/>
        <w:bCs w:val="1"/>
        <w:sz w:val="48"/>
        <w:szCs w:val="48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sz w:val="48"/>
        <w:szCs w:val="48"/>
        <w:rtl w:val="0"/>
      </w:rPr>
      <w:t xml:space="preserve">Tic-Tac-Toe</w:t>
    </w:r>
  </w:p>
  <w:p w:rsidR="00000000" w:rsidDel="00000000" w:rsidP="00000000" w:rsidRDefault="00000000" w:rsidRPr="00000000" w14:paraId="0000000B">
    <w:pPr>
      <w:pageBreakBefore w:val="0"/>
      <w:jc w:val="center"/>
      <w:rPr>
        <w:rFonts w:ascii="Open Sans" w:cs="Open Sans" w:eastAsia="Open Sans" w:hAnsi="Open Sans"/>
        <w:sz w:val="32"/>
        <w:szCs w:val="32"/>
      </w:rPr>
    </w:pPr>
    <w:r w:rsidDel="00000000" w:rsidR="00000000" w:rsidRPr="00000000">
      <w:rPr>
        <w:rFonts w:ascii="Open Sans" w:cs="Open Sans" w:eastAsia="Open Sans" w:hAnsi="Open Sans"/>
        <w:sz w:val="32"/>
        <w:szCs w:val="32"/>
        <w:rtl w:val="0"/>
      </w:rPr>
      <w:t xml:space="preserve">Vincent Nguyen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