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Statement of Goals and Choices</w:t>
      </w:r>
    </w:p>
    <w:p>
      <w:pPr>
        <w:pStyle w:val="Subtitle"/>
      </w:pPr>
      <w:r>
        <w:t>Far From Home: Finding Belonging at Texas Tech</w:t>
      </w:r>
    </w:p>
    <w:p>
      <w:r>
        <w:rPr>
          <w:b/>
        </w:rPr>
        <w:t xml:space="preserve">Research question, purpose and audience. </w:t>
      </w:r>
      <w:r>
        <w:t>My inquiry asks how international students at Texas Tech adjust to life in Lubbock and what makes the area feel like home—or not. I wanted to move beyond a simple description of the campus and ask about relationships, routines, and practical conditions that affect everyday life. The audience I have in mind includes incoming international students, current Texas Tech students who may recognize these experiences, and readers who live in Lubbock but may not often hear the perspective of newcomers. The website is meant to invite reflection rather than prove that Texas Tech is welcoming or unwelcoming for everyone. In particular, I hoped to show why appreciating a place is not always the same as calling it home.</w:t>
      </w:r>
    </w:p>
    <w:p>
      <w:r>
        <w:rPr>
          <w:b/>
        </w:rPr>
        <w:t xml:space="preserve">How I researched the question. </w:t>
      </w:r>
      <w:r>
        <w:t>The core of the project is four interviews with international students who had different amounts of experience in Lubbock. I used a shared group of questions about expectations, adjustments, cultural differences, relationships, comfortable places and the meaning of home. Using many of the same questions helped me notice both overlap and disagreement. The earlier participants discussed arriving in a town they expected to be quiet. The later accounts added the perspectives of a student with several years of experience and a student who described the difference between attachment to a community and attachment to a city. The resulting story does not claim that four interviews represent all international students. I kept names out of the report and separated what participants said from my interpretation of their responses. Some captions were edited or paraphrased, so the written record acknowledges those limits rather than treating every line as a verified quotation.</w:t>
      </w:r>
    </w:p>
    <w:p>
      <w:r>
        <w:rPr>
          <w:b/>
        </w:rPr>
        <w:t xml:space="preserve">Why I chose a multimodal web essay. </w:t>
      </w:r>
      <w:r>
        <w:t>I chose a website instead of a conventional written essay because this research relies on voices as well as words. The embedded interviews allow a visitor to hear tone, hesitation and emphasis; the expandable transcripts let someone read the responses rather than play every recording. The different ways of entering the material matter. A reader can follow the narrative, listen to all four students, open a single interview, or examine one comparison of what home means to them. Keeping the transcripts separate from the main story also helped the main writing stay exploratory rather than turning into a long list of questions and answers. I used HTML, CSS and JavaScript because they let me update content while keeping the presentation accessible through a browser and shareable by a single link on GitHub Pages.</w:t>
      </w:r>
    </w:p>
    <w:p>
      <w:r>
        <w:rPr>
          <w:b/>
        </w:rPr>
        <w:t xml:space="preserve">Choices about visual evidence and organization. </w:t>
      </w:r>
      <w:r>
        <w:t>The organization moves from arrival to familiar places, movement around Lubbock and the question of home. That order follows the interview questions but also reflects the direction my thinking took as I compared responses. I chose photographs of the library, Student Union, and a Lubbock Citibus bus because participants referred to study spaces, work and movement around the city. These photographs illustrate locations and services; they do not document any of the specific interview experiences. I used photographs of Texas Tech from an identified Creative Commons source and credited the photographer rather than implying that I personally observed the scenes shown. I also researched Tree of Restoration, a church named by participants, and its descriptions of hospitality and transportation. Those details helped me ask how belonging might be created through concrete practices such as being welcomed or getting a ride. Official TOR images require a separate permission check before public reuse, so this is an ethical constraint rather than something that a credit line automatically resolves.</w:t>
      </w:r>
    </w:p>
    <w:p>
      <w:r>
        <w:rPr>
          <w:b/>
        </w:rPr>
        <w:t xml:space="preserve">How secondary research contributed. </w:t>
      </w:r>
      <w:r>
        <w:t>My primary research remains central, but secondary research gives the interviews additional context. Texas Tech's Global Guides pages describe institutional attempts to help arriving students adjust. University transportation pages explain which types of mobility services exist, while participants' accounts describe what they can actually do with the options available to them. Scholarly reviews of international student belonging helped me avoid treating the concept as if it had a single straightforward meaning. This distinction is important: the university can describe a program and a study can describe a wider pattern, but neither source can replace the particular circumstances of the students I interviewed. The secondary sources therefore create comparisons and questions instead of being used to declare the interviewees right or wrong.</w:t>
      </w:r>
    </w:p>
    <w:p>
      <w:r>
        <w:rPr>
          <w:b/>
        </w:rPr>
        <w:t xml:space="preserve">Risks, limitations and revisions. </w:t>
      </w:r>
      <w:r>
        <w:t>This process involved several practical and rhetorical risks. Early versions of the project looked like a generic interactive template. I revised the site toward a documentary style because the interview evidence should be more visible than decorative interaction. Expanding from one interview to four also required changing the analysis instead of merely attaching more recordings. Another risk is generalization. Three participants are originally from Nigeria and one from Ghana, and they do not represent every background or length of residence. The later conversations also raised transportation, a topic the original research question did not emphasize as strongly. That finding shifted my focus from belonging as a feeling to belonging as something affected by where a student can go. Finally, public media projects introduce ethical obligations: permission for audio, transcription uncertainty, picture credits and accessibility. I have tried to address these openly rather than conceal them behind a polished design. The result is not a universal explanation of home. It is a research-based invitation to notice how different students make—or have difficulty making—Lubbock their place.</w:t>
      </w:r>
    </w:p>
    <w:p>
      <w:r>
        <w:t>Source note: Descriptions of interviews and publishing choices refer to the accompanying web essay. Review and personalize this statement to reflect your own actual decisions and permissions before submitting.</w:t>
      </w:r>
    </w:p>
    <w:sectPr w:rsidR="00FC693F" w:rsidRPr="0006063C" w:rsidSect="00034616">
      <w:footerReference w:type="default" r:id="rId9"/>
      <w:pgSz w:w="12240" w:h="15840"/>
      <w:pgMar w:top="1181" w:right="1296" w:bottom="1123"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ENGL 1301 · Far From Home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2B3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B3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2B3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