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EFE5DA"/>
                <w:sz w:val="18"/>
                <w:szCs w:val="18"/>
              </w:rPr>
              <w:t xml:space="preserve">MODULO CAJA</w:t>
            </w:r>
          </w:p>
          <w:p>
            <w:pPr>
              <w:spacing w:after="150"/>
            </w:pPr>
            <w:r>
              <w:rPr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Manual de Usuario - Caja</w:t>
            </w:r>
          </w:p>
          <w:p>
            <w:pPr>
              <w:spacing w:after="0" w:line="320"/>
            </w:pPr>
            <w:r>
              <w:rPr>
                <w:b w:val="false"/>
                <w:bCs w:val="false"/>
                <w:i w:val="false"/>
                <w:iCs w:val="false"/>
                <w:color w:val="F7F2EC"/>
                <w:sz w:val="24"/>
                <w:szCs w:val="24"/>
              </w:rPr>
              <w:t xml:space="preserve">Apertura, movimientos, comprobantes, arqueos, cierre y pagos que entran desde otros modulos.</w:t>
            </w:r>
          </w:p>
        </w:tc>
      </w:tr>
    </w:tbl>
    <w:p>
      <w:pPr>
        <w:spacing w:after="120" w:before="220" w:line="300"/>
      </w:pPr>
      <w:r>
        <w:rPr>
          <w:b w:val="false"/>
          <w:bCs w:val="false"/>
          <w:i w:val="false"/>
          <w:iCs w:val="false"/>
          <w:color w:val="66564B"/>
          <w:sz w:val="22"/>
          <w:szCs w:val="22"/>
        </w:rPr>
        <w:t xml:space="preserve">Documento operativo para uso interno del equipo. Actualizado al 30 de junio de 2026.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B3B35" w:sz="1"/>
              <w:left w:val="single" w:color="9B3B35" w:sz="1"/>
              <w:bottom w:val="single" w:color="9B3B35" w:sz="1"/>
              <w:right w:val="single" w:color="9B3B35" w:sz="1"/>
            </w:tcBorders>
            <w:shd w:fill="FFF0EE" w:color="FFF0EE"/>
            <w:tcMar>
              <w:top w:type="dxa" w:w="170"/>
              <w:left w:type="dxa" w:w="190"/>
              <w:bottom w:type="dxa" w:w="170"/>
              <w:right w:type="dxa" w:w="190"/>
            </w:tcMar>
          </w:tcPr>
          <w:p>
            <w:pPr>
              <w:spacing w:after="80"/>
            </w:pPr>
            <w:r>
              <w:rPr>
                <w:b/>
                <w:bCs/>
                <w:i w:val="false"/>
                <w:iCs w:val="false"/>
                <w:color w:val="9B3B35"/>
                <w:sz w:val="22"/>
                <w:szCs w:val="22"/>
              </w:rPr>
              <w:t xml:space="preserve">Cambio urgente recomendado</w:t>
            </w:r>
          </w:p>
          <w:p>
            <w:pPr>
              <w:spacing w:after="0" w:line="30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1"/>
                <w:szCs w:val="21"/>
              </w:rPr>
              <w:t xml:space="preserve">Eliminar o restringir el cierre sin arqueo. Hoy permite cerrar usando el efectivo esperado como contado y puede ocultar faltantes o sobrantes. Debe quedar solo como cierre excepcional, con motivo obligatorio y permiso de superadmin/admin.</w:t>
            </w:r>
          </w:p>
        </w:tc>
      </w:tr>
    </w:tbl>
    <w:p>
      <w:pPr>
        <w:pStyle w:val="Heading1"/>
        <w:spacing w:after="120" w:before="160"/>
      </w:pPr>
      <w:r>
        <w:rPr>
          <w:b/>
          <w:bCs/>
          <w:i w:val="false"/>
          <w:iCs w:val="false"/>
          <w:color w:val="6E4A2F"/>
          <w:sz w:val="32"/>
          <w:szCs w:val="32"/>
        </w:rPr>
        <w:t xml:space="preserve">1. Objetivo del modulo</w:t>
      </w:r>
    </w:p>
    <w:p>
      <w:p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Caja sirve para controlar el dinero real de la clinica: aperturas, ingresos, egresos, comprobantes, arqueos y cierres. Tambien recibe pagos aprobados desde reservas, libros, promociones, planes de pago, tarjetas de ahorro y pagos a proveedores.</w:t>
      </w:r>
    </w:p>
    <w:p>
      <w:pPr>
        <w:pStyle w:val="Heading1"/>
        <w:spacing w:after="120" w:before="160"/>
      </w:pPr>
      <w:r>
        <w:rPr>
          <w:b/>
          <w:bCs/>
          <w:i w:val="false"/>
          <w:iCs w:val="false"/>
          <w:color w:val="6E4A2F"/>
          <w:sz w:val="32"/>
          <w:szCs w:val="32"/>
        </w:rPr>
        <w:t xml:space="preserve">2. Reglas de uso diario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Abrir caja antes de aprobar pagos o registrar movimientos del dia.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Todo pago por QR, transferencia, tarjeta u otro metodo no efectivo debe tener comprobante.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No duplicar ingresos: si un pago entra automatico desde otro modulo, no volver a registrarlo manualmente.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Las diferencias de arqueo se documentan; no se esconden.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Los egresos a proveedores deben quedar como salida de caja con referencia y comprobante cuando corresponda.</w:t>
      </w:r>
    </w:p>
    <w:p>
      <w:pPr>
        <w:pStyle w:val="Heading1"/>
        <w:spacing w:after="120" w:before="160"/>
      </w:pPr>
      <w:r>
        <w:rPr>
          <w:b/>
          <w:bCs/>
          <w:i w:val="false"/>
          <w:iCs w:val="false"/>
          <w:color w:val="6E4A2F"/>
          <w:sz w:val="32"/>
          <w:szCs w:val="32"/>
        </w:rPr>
        <w:t xml:space="preserve">3. Flujo operativo recomendado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Inicio del dia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Abrir caja con ciudad, punto de caja y monto inicial.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La sesion queda lista para recibir movimientos.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Durante el dia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Aprobar pagos solo con caja abierta.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Cada pago queda ligado a una sesion de caja.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Ingreso manual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Registrar concepto, monto, metodo, fecha y comprobante si no es efectivo.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El movimiento entra al resumen y al arqueo.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Egreso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Registrar gasto, retiro o pago a proveedor.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El efectivo esperado baja si el metodo es efectivo.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Control parcial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Hacer arqueo si cambia la responsable o hubo mucho efectivo.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Queda evidencia de diferencia parcial.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Cierre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Contar denominaciones y cerrar con arqueo.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Se calcula diferencia real del dia.</w:t>
            </w:r>
          </w:p>
        </w:tc>
      </w:tr>
    </w:tbl>
    <w:p>
      <w:pPr>
        <w:pStyle w:val="Heading1"/>
        <w:spacing w:after="120" w:before="160"/>
      </w:pPr>
      <w:r>
        <w:rPr>
          <w:b/>
          <w:bCs/>
          <w:i w:val="false"/>
          <w:iCs w:val="false"/>
          <w:color w:val="6E4A2F"/>
          <w:sz w:val="32"/>
          <w:szCs w:val="32"/>
        </w:rPr>
        <w:t xml:space="preserve">4. Comprobantes</w:t>
      </w:r>
    </w:p>
    <w:p>
      <w:p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El comprobante no es decorativo: es la prueba operativa. Para QR, transferencia, tarjeta u otros metodos no efectivos, el sistema debe exigir imagen o documento antes de guardar.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Para efectivo puede ser opcional, salvo que se quiera adjuntar factura, recibo o respaldo interno.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Para pagos a proveedores, se recomienda comprobante obligatorio si el metodo no es efectivo.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Si un comprobante es incorrecto, no borrar el movimiento sin trazabilidad; se debe anular o corregir con nota.</w:t>
      </w:r>
    </w:p>
    <w:p>
      <w:pPr>
        <w:pStyle w:val="Heading1"/>
        <w:spacing w:after="120" w:before="160"/>
      </w:pPr>
      <w:r>
        <w:rPr>
          <w:b/>
          <w:bCs/>
          <w:i w:val="false"/>
          <w:iCs w:val="false"/>
          <w:color w:val="6E4A2F"/>
          <w:sz w:val="32"/>
          <w:szCs w:val="32"/>
        </w:rPr>
        <w:t xml:space="preserve">5. Arqueo y cierre</w:t>
      </w:r>
    </w:p>
    <w:p>
      <w:p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El arqueo compara el efectivo esperado contra lo contado fisicamente. El esperado solo debe considerar movimientos de tipo efectivo; QR y transferencia quedan registrados, pero no deben sumarse al efectivo que hay en caja.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Situacion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 hacer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Sobra dinero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Revisar ingresos no registrados. Si no se identifica, cerrar con nota de sobrante.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Falta dinero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Revisar egresos no registrados y pagos duplicados. Si persiste, cerrar con nota de faltante.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Caja cerrada por error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No borrar datos. Reabrir/corregir solo con flujo administrativo definido.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Movimiento duplicado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Anular el incorrecto o crear movimiento compensatorio, conservando la evidencia.</w:t>
            </w:r>
          </w:p>
        </w:tc>
      </w:tr>
    </w:tbl>
    <w:p>
      <w:pPr>
        <w:pStyle w:val="Heading1"/>
        <w:spacing w:after="120" w:before="160"/>
      </w:pPr>
      <w:r>
        <w:rPr>
          <w:b/>
          <w:bCs/>
          <w:i w:val="false"/>
          <w:iCs w:val="false"/>
          <w:color w:val="6E4A2F"/>
          <w:sz w:val="32"/>
          <w:szCs w:val="32"/>
        </w:rPr>
        <w:t xml:space="preserve">6. Alertas para administracion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Movimientos aprobados sin sesion de caja.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Pagos no efectivos sin comprobante.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Cierres sin arqueo o con diferencia cero sospechosa.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Borrados de movimientos, sesiones o arqueos.</w:t>
      </w:r>
    </w:p>
    <w:p>
      <w:pPr>
        <w:pStyle w:val="ListParagraph"/>
        <w:numPr>
          <w:ilvl w:val="0"/>
          <w:numId w:val="1"/>
        </w:numPr>
        <w:spacing w:after="120" w:before="0" w:line="300"/>
      </w:pPr>
      <w:r>
        <w:rPr>
          <w:b w:val="false"/>
          <w:bCs w:val="false"/>
          <w:i w:val="false"/>
          <w:iCs w:val="false"/>
          <w:color w:val="2B211B"/>
          <w:sz w:val="22"/>
          <w:szCs w:val="22"/>
        </w:rPr>
        <w:t xml:space="preserve">Pagos a proveedores superiores al pendiente.</w:t>
      </w:r>
    </w:p>
    <w:p>
      <w:pPr>
        <w:pStyle w:val="Heading1"/>
        <w:spacing w:after="120" w:before="160"/>
      </w:pPr>
      <w:r>
        <w:rPr>
          <w:b/>
          <w:bCs/>
          <w:i w:val="false"/>
          <w:iCs w:val="false"/>
          <w:color w:val="6E4A2F"/>
          <w:sz w:val="32"/>
          <w:szCs w:val="32"/>
        </w:rPr>
        <w:t xml:space="preserve">7. Prioridad de implementacion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Cambio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E4A2F" w:color="6E4A2F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 que urge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Bloquear cierre sin arqueo o convertirlo en cierre excepcional.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Evita ocultar diferencias reales.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Exigir caja abierta en planes de pago y tarjetas de ahorro.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Evita ingresos fuera de sesion.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Alta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Reemplazar borrado operativo por anulacion/reversa.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Mantiene auditoria financiera.</w:t>
            </w:r>
          </w:p>
        </w:tc>
      </w:tr>
      <w:tr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shd w:fill="EFE5DA" w:color="EFE5DA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i w:val="false"/>
                <w:iCs w:val="false"/>
                <w:color w:val="2B211B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Comprobante obligatorio para egresos no efectivos a proveedores.</w:t>
            </w:r>
          </w:p>
        </w:tc>
        <w:tc>
          <w:tcPr>
            <w:tcBorders>
              <w:top w:val="single" w:color="D8C2AE" w:sz="1"/>
              <w:left w:val="single" w:color="D8C2AE" w:sz="1"/>
              <w:bottom w:val="single" w:color="D8C2AE" w:sz="1"/>
              <w:right w:val="single" w:color="D8C2AE" w:sz="1"/>
            </w:tcBorders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i w:val="false"/>
                <w:iCs w:val="false"/>
                <w:color w:val="2B211B"/>
                <w:sz w:val="20"/>
                <w:szCs w:val="20"/>
              </w:rPr>
              <w:t xml:space="preserve">Mejora respaldo contable.</w:t>
            </w:r>
          </w:p>
        </w:tc>
      </w:tr>
    </w:tbl>
    <w:sectPr>
      <w:footerReference w:type="default" r:id="rId7"/>
      <w:pgSz w:w="11906" w:h="16838" w:orient="portrait"/>
      <w:pgMar w:top="960" w:right="840" w:bottom="820" w:left="8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 w:val="false"/>
        <w:bCs w:val="false"/>
        <w:i w:val="false"/>
        <w:iCs w:val="false"/>
        <w:color w:val="66564B"/>
        <w:sz w:val="18"/>
        <w:szCs w:val="18"/>
      </w:rPr>
      <w:t xml:space="preserve">Manual de Usuario - Caja | pagina </w:t>
    </w:r>
    <w:r>
      <w:rPr>
        <w:color w:val="66564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B211B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2026-06-30T13:11:23.949Z</dcterms:created>
  <dcterms:modified xsi:type="dcterms:W3CDTF">2026-06-30T13:11:23.949Z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