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icrosoft Yahei" w:cs="Microsoft Yahei" w:eastAsia="Microsoft Yahei" w:hAnsi="Microsoft Yahei"/>
          <w:b w:val="1"/>
          <w:bCs w:val="1"/>
          <w:sz w:val="44"/>
          <w:szCs w:val="4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44"/>
          <w:szCs w:val="44"/>
          <w:rtl w:val="0"/>
        </w:rPr>
        <w:t xml:space="preserve">马来 破产礼包优化</w:t>
      </w:r>
    </w:p>
    <w:p w:rsidR="00000000" w:rsidDel="00000000" w:rsidP="00000000" w:rsidRDefault="00000000" w:rsidRPr="00000000" w14:paraId="00000002">
      <w:pPr>
        <w:pStyle w:val="Heading2"/>
        <w:rPr>
          <w:rFonts w:ascii="Microsoft Yahei" w:cs="Microsoft Yahei" w:eastAsia="Microsoft Yahei" w:hAnsi="Microsoft Yahei"/>
        </w:rPr>
      </w:pPr>
      <w:bookmarkStart w:colFirst="0" w:colLast="0" w:name="_54bh2k24z22c" w:id="0"/>
      <w:bookmarkEnd w:id="0"/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一、破产礼包档位新增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新增8个档位，表格</w:t>
      </w:r>
      <w:r w:rsidDel="00000000" w:rsidR="00000000" w:rsidRPr="00000000">
        <w:rPr>
          <w:rFonts w:ascii="Microsoft Yahei" w:cs="Microsoft Yahei" w:eastAsia="Microsoft Yahei" w:hAnsi="Microsoft Yahei"/>
          <w:highlight w:val="yellow"/>
          <w:rtl w:val="0"/>
        </w:rPr>
        <w:t xml:space="preserve">标黄的行</w:t>
      </w: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代表新增档位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原来ID-6的199.9礼包，现替换为129.9礼包，199.9礼包升为ID-7（</w:t>
      </w:r>
      <w:r w:rsidDel="00000000" w:rsidR="00000000" w:rsidRPr="00000000">
        <w:rPr>
          <w:rFonts w:ascii="Microsoft Yahei" w:cs="Microsoft Yahei" w:eastAsia="Microsoft Yahei" w:hAnsi="Microsoft Yahei"/>
          <w:shd w:fill="9fc5e8" w:val="clear"/>
          <w:rtl w:val="0"/>
        </w:rPr>
        <w:t xml:space="preserve">标蓝的行</w:t>
      </w: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）</w:t>
      </w:r>
    </w:p>
    <w:tbl>
      <w:tblPr>
        <w:tblStyle w:val="Table1"/>
        <w:tblW w:w="9435.0" w:type="dxa"/>
        <w:jc w:val="left"/>
        <w:tblInd w:w="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3630"/>
        <w:gridCol w:w="1365"/>
        <w:gridCol w:w="1950"/>
        <w:gridCol w:w="1425"/>
        <w:tblGridChange w:id="0">
          <w:tblGrid>
            <w:gridCol w:w="1065"/>
            <w:gridCol w:w="3630"/>
            <w:gridCol w:w="1365"/>
            <w:gridCol w:w="1950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Microsoft Yahei" w:cs="Microsoft Yahei" w:eastAsia="Microsoft Yahei" w:hAnsi="Microsoft Yahe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b w:val="1"/>
                <w:bCs w:val="1"/>
                <w:color w:val="1d1c1d"/>
                <w:sz w:val="24"/>
                <w:szCs w:val="24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color w:val="1d1c1d"/>
                <w:sz w:val="24"/>
                <w:szCs w:val="24"/>
                <w:rtl w:val="0"/>
              </w:rPr>
              <w:t xml:space="preserve">计费点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b w:val="1"/>
                <w:bCs w:val="1"/>
                <w:color w:val="1d1c1d"/>
                <w:sz w:val="24"/>
                <w:szCs w:val="24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color w:val="1d1c1d"/>
                <w:sz w:val="24"/>
                <w:szCs w:val="24"/>
                <w:rtl w:val="0"/>
              </w:rPr>
              <w:t xml:space="preserve">价格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b w:val="1"/>
                <w:bCs w:val="1"/>
                <w:color w:val="1d1c1d"/>
                <w:sz w:val="24"/>
                <w:szCs w:val="24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color w:val="1d1c1d"/>
                <w:sz w:val="24"/>
                <w:szCs w:val="24"/>
                <w:rtl w:val="0"/>
              </w:rPr>
              <w:t xml:space="preserve">金币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b w:val="1"/>
                <w:bCs w:val="1"/>
                <w:color w:val="1d1c1d"/>
                <w:sz w:val="24"/>
                <w:szCs w:val="24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color w:val="1d1c1d"/>
                <w:sz w:val="24"/>
                <w:szCs w:val="24"/>
                <w:rtl w:val="0"/>
              </w:rPr>
              <w:t xml:space="preserve">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sz w:val="23"/>
                <w:szCs w:val="23"/>
                <w:highlight w:val="white"/>
                <w:rtl w:val="0"/>
              </w:rPr>
              <w:t xml:space="preserve">com.huoys.royalgolden.pclb1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rtl w:val="0"/>
              </w:rPr>
              <w:t xml:space="preserve">3.9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rtl w:val="0"/>
              </w:rPr>
              <w:t xml:space="preserve">250,000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rtl w:val="0"/>
              </w:rPr>
              <w:t xml:space="preserve">493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sz w:val="23"/>
                <w:szCs w:val="23"/>
                <w:highlight w:val="white"/>
                <w:rtl w:val="0"/>
              </w:rPr>
              <w:t xml:space="preserve">com.huoys.royalgolden.pclb2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rtl w:val="0"/>
              </w:rPr>
              <w:t xml:space="preserve">7.9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rtl w:val="0"/>
              </w:rPr>
              <w:t xml:space="preserve">500,000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rtl w:val="0"/>
              </w:rPr>
              <w:t xml:space="preserve">494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sz w:val="23"/>
                <w:szCs w:val="23"/>
                <w:highlight w:val="white"/>
                <w:rtl w:val="0"/>
              </w:rPr>
              <w:t xml:space="preserve">com.huoys.royalgolden.pclb3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rtl w:val="0"/>
              </w:rPr>
              <w:t xml:space="preserve">19.9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rtl w:val="0"/>
              </w:rPr>
              <w:t xml:space="preserve">1,300,000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rtl w:val="0"/>
              </w:rPr>
              <w:t xml:space="preserve">495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sz w:val="23"/>
                <w:szCs w:val="23"/>
                <w:highlight w:val="white"/>
                <w:rtl w:val="0"/>
              </w:rPr>
              <w:t xml:space="preserve">com.huoys.royalgolden.pclb4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rtl w:val="0"/>
              </w:rPr>
              <w:t xml:space="preserve">39.9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rtl w:val="0"/>
              </w:rPr>
              <w:t xml:space="preserve">2,600,000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rtl w:val="0"/>
              </w:rPr>
              <w:t xml:space="preserve">496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1d1c1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1d1c1d" w:space="0" w:sz="6" w:val="single"/>
              <w:right w:color="000000" w:space="0" w:sz="6" w:val="single"/>
            </w:tcBorders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sz w:val="23"/>
                <w:szCs w:val="23"/>
                <w:highlight w:val="white"/>
                <w:rtl w:val="0"/>
              </w:rPr>
              <w:t xml:space="preserve">com.huoys.royalgolden.pclb5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1d1c1d" w:space="0" w:sz="6" w:val="single"/>
              <w:right w:color="000000" w:space="0" w:sz="6" w:val="single"/>
            </w:tcBorders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rtl w:val="0"/>
              </w:rPr>
              <w:t xml:space="preserve">79.9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d1c1d" w:space="0" w:sz="6" w:val="single"/>
              <w:right w:color="000000" w:space="0" w:sz="6" w:val="single"/>
            </w:tcBorders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rtl w:val="0"/>
              </w:rPr>
              <w:t xml:space="preserve">5,250,000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1d1c1d" w:space="0" w:sz="6" w:val="single"/>
              <w:right w:color="000000" w:space="0" w:sz="6" w:val="single"/>
            </w:tcBorders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rtl w:val="0"/>
              </w:rPr>
              <w:t xml:space="preserve">497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d1c1d" w:space="0" w:sz="8" w:val="single"/>
              <w:left w:color="1d1c1d" w:space="0" w:sz="8" w:val="single"/>
              <w:bottom w:color="1d1c1d" w:space="0" w:sz="8" w:val="single"/>
              <w:right w:color="1d1c1d" w:space="0" w:sz="6" w:val="single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6</w:t>
            </w:r>
          </w:p>
        </w:tc>
        <w:tc>
          <w:tcPr>
            <w:tcBorders>
              <w:top w:color="1d1c1d" w:space="0" w:sz="6" w:val="single"/>
              <w:left w:color="1d1c1d" w:space="0" w:sz="6" w:val="single"/>
              <w:bottom w:color="1d1c1d" w:space="0" w:sz="6" w:val="single"/>
              <w:right w:color="1d1c1d" w:space="0" w:sz="6" w:val="single"/>
            </w:tcBorders>
            <w:shd w:fill="ffff00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sz w:val="23"/>
                <w:szCs w:val="23"/>
                <w:rtl w:val="0"/>
              </w:rPr>
              <w:t xml:space="preserve">com.huoys.royalgolden.pclb6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1c1d" w:space="0" w:sz="6" w:val="single"/>
              <w:left w:color="1d1c1d" w:space="0" w:sz="6" w:val="single"/>
              <w:bottom w:color="1d1c1d" w:space="0" w:sz="6" w:val="single"/>
              <w:right w:color="1d1c1d" w:space="0" w:sz="6" w:val="single"/>
            </w:tcBorders>
            <w:shd w:fill="ffff00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highlight w:val="yellow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highlight w:val="yellow"/>
                <w:rtl w:val="0"/>
              </w:rPr>
              <w:t xml:space="preserve">129.9</w:t>
            </w:r>
          </w:p>
        </w:tc>
        <w:tc>
          <w:tcPr>
            <w:tcBorders>
              <w:top w:color="1d1c1d" w:space="0" w:sz="6" w:val="single"/>
              <w:left w:color="1d1c1d" w:space="0" w:sz="6" w:val="single"/>
              <w:bottom w:color="1d1c1d" w:space="0" w:sz="6" w:val="single"/>
              <w:right w:color="1d1c1d" w:space="0" w:sz="6" w:val="single"/>
            </w:tcBorders>
            <w:shd w:fill="ffff00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highlight w:val="yellow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highlight w:val="yellow"/>
                <w:rtl w:val="0"/>
              </w:rPr>
              <w:t xml:space="preserve">8,600,000</w:t>
            </w:r>
          </w:p>
        </w:tc>
        <w:tc>
          <w:tcPr>
            <w:tcBorders>
              <w:top w:color="1d1c1d" w:space="0" w:sz="6" w:val="single"/>
              <w:left w:color="1d1c1d" w:space="0" w:sz="6" w:val="single"/>
              <w:bottom w:color="1d1c1d" w:space="0" w:sz="6" w:val="single"/>
              <w:right w:color="1d1c1d" w:space="0" w:sz="6" w:val="single"/>
            </w:tcBorders>
            <w:shd w:fill="ffff00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highlight w:val="yellow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highlight w:val="yellow"/>
                <w:rtl w:val="0"/>
              </w:rPr>
              <w:t xml:space="preserve">1034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d1c1d" w:space="0" w:sz="8" w:val="single"/>
              <w:right w:color="1d1c1d" w:space="0" w:sz="6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7</w:t>
            </w:r>
          </w:p>
        </w:tc>
        <w:tc>
          <w:tcPr>
            <w:tcBorders>
              <w:top w:color="1d1c1d" w:space="0" w:sz="6" w:val="single"/>
              <w:left w:color="1d1c1d" w:space="0" w:sz="6" w:val="single"/>
              <w:bottom w:color="1d1c1d" w:space="0" w:sz="6" w:val="single"/>
              <w:right w:color="1d1c1d" w:space="0" w:sz="6" w:val="single"/>
            </w:tcBorders>
            <w:shd w:fill="a4c2f4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sz w:val="23"/>
                <w:szCs w:val="23"/>
                <w:rtl w:val="0"/>
              </w:rPr>
              <w:t xml:space="preserve">com.huoys.royalgolden.pclb7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1c1d" w:space="0" w:sz="6" w:val="single"/>
              <w:left w:color="1d1c1d" w:space="0" w:sz="6" w:val="single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rtl w:val="0"/>
              </w:rPr>
              <w:t xml:space="preserve">199.9</w:t>
            </w:r>
          </w:p>
        </w:tc>
        <w:tc>
          <w:tcPr>
            <w:tcBorders>
              <w:top w:color="1d1c1d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rtl w:val="0"/>
              </w:rPr>
              <w:t xml:space="preserve">13,500,000</w:t>
            </w:r>
          </w:p>
        </w:tc>
        <w:tc>
          <w:tcPr>
            <w:tcBorders>
              <w:top w:color="1d1c1d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4c2f4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rtl w:val="0"/>
              </w:rPr>
              <w:t xml:space="preserve">498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highlight w:val="yellow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highlight w:val="yellow"/>
                <w:rtl w:val="0"/>
              </w:rPr>
              <w:t xml:space="preserve">8</w:t>
            </w:r>
          </w:p>
        </w:tc>
        <w:tc>
          <w:tcPr>
            <w:tcBorders>
              <w:top w:color="1d1c1d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sz w:val="23"/>
                <w:szCs w:val="23"/>
                <w:rtl w:val="0"/>
              </w:rPr>
              <w:t xml:space="preserve">com.huoys.royalgolden.pclb8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  <w:highlight w:val="yellow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highlight w:val="yellow"/>
                <w:rtl w:val="0"/>
              </w:rPr>
              <w:t xml:space="preserve">279.9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  <w:highlight w:val="yellow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highlight w:val="yellow"/>
                <w:rtl w:val="0"/>
              </w:rPr>
              <w:t xml:space="preserve">19,500,000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  <w:highlight w:val="yellow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highlight w:val="yellow"/>
                <w:rtl w:val="0"/>
              </w:rPr>
              <w:t xml:space="preserve">1035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highlight w:val="yellow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highlight w:val="yellow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sz w:val="23"/>
                <w:szCs w:val="23"/>
                <w:rtl w:val="0"/>
              </w:rPr>
              <w:t xml:space="preserve">com.huoys.royalgolden.pclb9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  <w:highlight w:val="yellow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highlight w:val="yellow"/>
                <w:rtl w:val="0"/>
              </w:rPr>
              <w:t xml:space="preserve">399.9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  <w:highlight w:val="yellow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highlight w:val="yellow"/>
                <w:rtl w:val="0"/>
              </w:rPr>
              <w:t xml:space="preserve">28,000,000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  <w:highlight w:val="yellow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highlight w:val="yellow"/>
                <w:rtl w:val="0"/>
              </w:rPr>
              <w:t xml:space="preserve">1036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highlight w:val="yellow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highlight w:val="yellow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sz w:val="23"/>
                <w:szCs w:val="23"/>
                <w:rtl w:val="0"/>
              </w:rPr>
              <w:t xml:space="preserve">com.huoys.royalgolden.pclb10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  <w:highlight w:val="yellow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highlight w:val="yellow"/>
                <w:rtl w:val="0"/>
              </w:rPr>
              <w:t xml:space="preserve">599.9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  <w:highlight w:val="yellow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highlight w:val="yellow"/>
                <w:rtl w:val="0"/>
              </w:rPr>
              <w:t xml:space="preserve">45,000,000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  <w:highlight w:val="yellow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highlight w:val="yellow"/>
                <w:rtl w:val="0"/>
              </w:rPr>
              <w:t xml:space="preserve">1037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highlight w:val="yellow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highlight w:val="yellow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sz w:val="23"/>
                <w:szCs w:val="23"/>
                <w:rtl w:val="0"/>
              </w:rPr>
              <w:t xml:space="preserve">com.huoys.royalgolden.pclb11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  <w:highlight w:val="yellow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highlight w:val="yellow"/>
                <w:rtl w:val="0"/>
              </w:rPr>
              <w:t xml:space="preserve">999.9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  <w:highlight w:val="yellow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highlight w:val="yellow"/>
                <w:rtl w:val="0"/>
              </w:rPr>
              <w:t xml:space="preserve">76,000,000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  <w:highlight w:val="yellow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highlight w:val="yellow"/>
                <w:rtl w:val="0"/>
              </w:rPr>
              <w:t xml:space="preserve">1038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highlight w:val="yellow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highlight w:val="yellow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sz w:val="23"/>
                <w:szCs w:val="23"/>
                <w:rtl w:val="0"/>
              </w:rPr>
              <w:t xml:space="preserve">com.huoys.royalgolden.pclb12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  <w:highlight w:val="yellow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highlight w:val="yellow"/>
                <w:rtl w:val="0"/>
              </w:rPr>
              <w:t xml:space="preserve">1399.9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  <w:highlight w:val="yellow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highlight w:val="yellow"/>
                <w:rtl w:val="0"/>
              </w:rPr>
              <w:t xml:space="preserve">110,000,000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  <w:highlight w:val="yellow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highlight w:val="yellow"/>
                <w:rtl w:val="0"/>
              </w:rPr>
              <w:t xml:space="preserve">1039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highlight w:val="yellow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highlight w:val="yellow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sz w:val="23"/>
                <w:szCs w:val="23"/>
                <w:rtl w:val="0"/>
              </w:rPr>
              <w:t xml:space="preserve">com.huoys.royalgolden.pclb13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  <w:highlight w:val="yellow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highlight w:val="yellow"/>
                <w:rtl w:val="0"/>
              </w:rPr>
              <w:t xml:space="preserve">2999.9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  <w:highlight w:val="yellow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highlight w:val="yellow"/>
                <w:rtl w:val="0"/>
              </w:rPr>
              <w:t xml:space="preserve">236,000,000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  <w:highlight w:val="yellow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highlight w:val="yellow"/>
                <w:rtl w:val="0"/>
              </w:rPr>
              <w:t xml:space="preserve">1040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Yahei" w:cs="Microsoft Yahei" w:eastAsia="Microsoft Yahei" w:hAnsi="Microsoft Yahei"/>
                <w:highlight w:val="yellow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highlight w:val="yellow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sz w:val="23"/>
                <w:szCs w:val="23"/>
                <w:rtl w:val="0"/>
              </w:rPr>
              <w:t xml:space="preserve">com.huoys.royalgolden.pclb14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  <w:highlight w:val="yellow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highlight w:val="yellow"/>
                <w:rtl w:val="0"/>
              </w:rPr>
              <w:t xml:space="preserve">3799.9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  <w:highlight w:val="yellow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highlight w:val="yellow"/>
                <w:rtl w:val="0"/>
              </w:rPr>
              <w:t xml:space="preserve">300,000,000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40.0" w:type="dxa"/>
              <w:left w:w="180.0" w:type="dxa"/>
              <w:bottom w:w="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  <w:color w:val="1d1c1d"/>
                <w:highlight w:val="yellow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highlight w:val="yellow"/>
                <w:rtl w:val="0"/>
              </w:rPr>
              <w:t xml:space="preserve">1041</w:t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rPr>
          <w:rFonts w:ascii="Microsoft Yahei" w:cs="Microsoft Yahei" w:eastAsia="Microsoft Yahei" w:hAnsi="Microsoft Yahei"/>
        </w:rPr>
      </w:pPr>
      <w:bookmarkStart w:colFirst="0" w:colLast="0" w:name="_occixct2td6d" w:id="1"/>
      <w:bookmarkEnd w:id="1"/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二、破产礼包弹出档位优化</w:t>
      </w:r>
    </w:p>
    <w:p w:rsidR="00000000" w:rsidDel="00000000" w:rsidP="00000000" w:rsidRDefault="00000000" w:rsidRPr="00000000" w14:paraId="00000051">
      <w:pPr>
        <w:ind w:left="0" w:firstLine="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</w:rPr>
        <w:drawing>
          <wp:inline distB="114300" distT="114300" distL="114300" distR="114300">
            <wp:extent cx="6157913" cy="296336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7913" cy="2963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弹出逻辑（保持不变）：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rtl w:val="0"/>
        </w:rPr>
        <w:t xml:space="preserve">下注破产</w:t>
      </w: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：不满足当前下注时弹破产礼包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  <w:rPr>
          <w:rFonts w:ascii="Microsoft Yahei" w:cs="Microsoft Yahei" w:eastAsia="Microsoft Yahei" w:hAnsi="Microsoft Yahei"/>
          <w:u w:val="none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rtl w:val="0"/>
        </w:rPr>
        <w:t xml:space="preserve">购买免费破产</w:t>
      </w: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：用户金币不足以支付当前购买免费时弹破产礼包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档位推荐逻辑优化：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rtl w:val="0"/>
        </w:rPr>
        <w:t xml:space="preserve">下注破产</w:t>
      </w: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：根据</w:t>
      </w:r>
      <w:r w:rsidDel="00000000" w:rsidR="00000000" w:rsidRPr="00000000">
        <w:rPr>
          <w:rFonts w:ascii="Microsoft Yahei" w:cs="Microsoft Yahei" w:eastAsia="Microsoft Yahei" w:hAnsi="Microsoft Yahei"/>
          <w:highlight w:val="yellow"/>
          <w:rtl w:val="0"/>
        </w:rPr>
        <w:t xml:space="preserve">【下注金额 x 系数】</w:t>
      </w: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，找金币值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u w:val="single"/>
          <w:rtl w:val="0"/>
        </w:rPr>
        <w:t xml:space="preserve">最接近</w:t>
      </w: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的档位ID</w:t>
      </w:r>
    </w:p>
    <w:p w:rsidR="00000000" w:rsidDel="00000000" w:rsidP="00000000" w:rsidRDefault="00000000" w:rsidRPr="00000000" w14:paraId="00000057">
      <w:pPr>
        <w:numPr>
          <w:ilvl w:val="2"/>
          <w:numId w:val="2"/>
        </w:numPr>
        <w:ind w:left="2160" w:hanging="36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目前系数为11</w:t>
      </w:r>
    </w:p>
    <w:p w:rsidR="00000000" w:rsidDel="00000000" w:rsidP="00000000" w:rsidRDefault="00000000" w:rsidRPr="00000000" w14:paraId="00000058">
      <w:pPr>
        <w:numPr>
          <w:ilvl w:val="2"/>
          <w:numId w:val="2"/>
        </w:numPr>
        <w:ind w:left="2160" w:hanging="36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比如：当前下注5M，假设X配置为11，5M*11 = 55M，原逻辑匹配999.9礼包，现逻辑匹配599.9礼包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  <w:rPr>
          <w:rFonts w:ascii="Microsoft Yahei" w:cs="Microsoft Yahei" w:eastAsia="Microsoft Yahei" w:hAnsi="Microsoft Yahei"/>
          <w:u w:val="none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rtl w:val="0"/>
        </w:rPr>
        <w:t xml:space="preserve">购买免费破产</w:t>
      </w: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：根据</w:t>
      </w:r>
      <w:r w:rsidDel="00000000" w:rsidR="00000000" w:rsidRPr="00000000">
        <w:rPr>
          <w:rFonts w:ascii="Microsoft Yahei" w:cs="Microsoft Yahei" w:eastAsia="Microsoft Yahei" w:hAnsi="Microsoft Yahei"/>
          <w:highlight w:val="yellow"/>
          <w:rtl w:val="0"/>
        </w:rPr>
        <w:t xml:space="preserve">【</w:t>
      </w:r>
      <w:r w:rsidDel="00000000" w:rsidR="00000000" w:rsidRPr="00000000">
        <w:rPr>
          <w:rFonts w:ascii="Microsoft Yahei" w:cs="Microsoft Yahei" w:eastAsia="Microsoft Yahei" w:hAnsi="Microsoft Yahei"/>
          <w:color w:val="1d1c1d"/>
          <w:sz w:val="23"/>
          <w:szCs w:val="23"/>
          <w:highlight w:val="yellow"/>
          <w:rtl w:val="0"/>
        </w:rPr>
        <w:t xml:space="preserve">购买免费金额 × 系数</w:t>
      </w:r>
      <w:r w:rsidDel="00000000" w:rsidR="00000000" w:rsidRPr="00000000">
        <w:rPr>
          <w:rFonts w:ascii="Microsoft Yahei" w:cs="Microsoft Yahei" w:eastAsia="Microsoft Yahei" w:hAnsi="Microsoft Yahei"/>
          <w:highlight w:val="yellow"/>
          <w:rtl w:val="0"/>
        </w:rPr>
        <w:t xml:space="preserve">】</w:t>
      </w: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，找金币值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u w:val="single"/>
          <w:rtl w:val="0"/>
        </w:rPr>
        <w:t xml:space="preserve">最接近</w:t>
      </w: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的档位ID，传给大厅</w:t>
      </w:r>
    </w:p>
    <w:p w:rsidR="00000000" w:rsidDel="00000000" w:rsidP="00000000" w:rsidRDefault="00000000" w:rsidRPr="00000000" w14:paraId="0000005A">
      <w:pPr>
        <w:numPr>
          <w:ilvl w:val="2"/>
          <w:numId w:val="2"/>
        </w:numPr>
        <w:ind w:left="2160" w:hanging="36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目前系数为11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如果找到了两个相差值一致的档位，取较低档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若金币值太小或太大，找不到对应档位ID，则取最小/最大的档位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需给大厅传：档位ID、金币值、是否为免费，3个参数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子游戏把3个参数传给大厅后，结合大厅侧逻辑再返回来2个ID，大厅返回的ID才是最终展示给用的的礼包档位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/>
        <w:ind w:left="1440" w:hanging="36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比如：子游戏传了plcb5，但大厅会根据玩家付费、当前下注档位、是否为免费购买等逻辑返回2个最终ID，假设是plcb4和plcb9，那么最终应该展示plcb4和plcb9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屏蔽弹破产礼包时会一起弹商城界面的逻辑，不用弹商城，只弹破产礼包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Fonts w:ascii="Microsoft Yahei" w:cs="Microsoft Yahei" w:eastAsia="Microsoft Yahei" w:hAnsi="Microsoft Yahei"/>
          <w:rtl w:val="0"/>
        </w:rPr>
        <w:t xml:space="preserve">不同档位的破产礼包，其CD值不一样（由大厅设置）</w:t>
      </w:r>
    </w:p>
    <w:tbl>
      <w:tblPr>
        <w:tblStyle w:val="Table2"/>
        <w:tblW w:w="40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2040"/>
        <w:tblGridChange w:id="0">
          <w:tblGrid>
            <w:gridCol w:w="2040"/>
            <w:gridCol w:w="2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礼包档位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rtl w:val="0"/>
              </w:rPr>
              <w:t xml:space="preserve">CD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0" w:firstLine="0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sz w:val="23"/>
                <w:szCs w:val="23"/>
                <w:highlight w:val="white"/>
                <w:rtl w:val="0"/>
              </w:rPr>
              <w:t xml:space="preserve">pclb1-3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sz w:val="23"/>
                <w:szCs w:val="23"/>
                <w:highlight w:val="white"/>
                <w:rtl w:val="0"/>
              </w:rPr>
              <w:t xml:space="preserve">30min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0" w:firstLine="0"/>
              <w:rPr>
                <w:rFonts w:ascii="Microsoft Yahei" w:cs="Microsoft Yahei" w:eastAsia="Microsoft Yahei" w:hAnsi="Microsoft Yahei"/>
                <w:color w:val="1d1c1d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sz w:val="23"/>
                <w:szCs w:val="23"/>
                <w:highlight w:val="white"/>
                <w:rtl w:val="0"/>
              </w:rPr>
              <w:t xml:space="preserve">pclb4-5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0" w:firstLine="0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sz w:val="23"/>
                <w:szCs w:val="23"/>
                <w:highlight w:val="white"/>
                <w:rtl w:val="0"/>
              </w:rPr>
              <w:t xml:space="preserve">25min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0" w:firstLine="0"/>
              <w:rPr>
                <w:rFonts w:ascii="Microsoft Yahei" w:cs="Microsoft Yahei" w:eastAsia="Microsoft Yahei" w:hAnsi="Microsoft Yahei"/>
                <w:color w:val="1d1c1d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sz w:val="23"/>
                <w:szCs w:val="23"/>
                <w:highlight w:val="white"/>
                <w:rtl w:val="0"/>
              </w:rPr>
              <w:t xml:space="preserve">pclb6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0" w:firstLine="0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sz w:val="23"/>
                <w:szCs w:val="23"/>
                <w:highlight w:val="white"/>
                <w:rtl w:val="0"/>
              </w:rPr>
              <w:t xml:space="preserve">20min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0" w:firstLine="0"/>
              <w:rPr>
                <w:rFonts w:ascii="Microsoft Yahei" w:cs="Microsoft Yahei" w:eastAsia="Microsoft Yahei" w:hAnsi="Microsoft Yahei"/>
                <w:color w:val="1d1c1d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sz w:val="23"/>
                <w:szCs w:val="23"/>
                <w:highlight w:val="white"/>
                <w:rtl w:val="0"/>
              </w:rPr>
              <w:t xml:space="preserve">pclb7-14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0" w:firstLine="0"/>
              <w:rPr>
                <w:rFonts w:ascii="Microsoft Yahei" w:cs="Microsoft Yahei" w:eastAsia="Microsoft Yahei" w:hAnsi="Microsoft Yahei"/>
              </w:rPr>
            </w:pPr>
            <w:r w:rsidDel="00000000" w:rsidR="00000000" w:rsidRPr="00000000">
              <w:rPr>
                <w:rFonts w:ascii="Microsoft Yahei" w:cs="Microsoft Yahei" w:eastAsia="Microsoft Yahei" w:hAnsi="Microsoft Yahei"/>
                <w:color w:val="1d1c1d"/>
                <w:sz w:val="23"/>
                <w:szCs w:val="23"/>
                <w:highlight w:val="white"/>
                <w:rtl w:val="0"/>
              </w:rPr>
              <w:t xml:space="preserve">15min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>
          <w:rFonts w:ascii="Microsoft Yahei" w:cs="Microsoft Yahei" w:eastAsia="Microsoft Yahei" w:hAnsi="Microsoft Yahe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Ya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Arial" w:cs="Arial" w:eastAsia="Arial" w:hAnsi="Arial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