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ascii="Calibri" w:hAnsi="Calibri" w:cs="Calibri" w:eastAsia="Calibri"/>
          <w:color w:val="000000"/>
          <w:sz w:val="32"/>
        </w:rPr>
        <w:t xml:space="preserve"> </w:t>
      </w:r>
      <w:r>
        <w:rPr>
          <w:rFonts w:ascii="Calibri" w:hAnsi="Calibri" w:cs="Calibri" w:eastAsia="標楷體"/>
          <w:color w:val="000000"/>
          <w:sz w:val="32"/>
        </w:rPr>
        <mc:AlternateContent>
          <mc:Choice Requires="wpg">
            <w:drawing>
              <wp:inline distT="0" distB="0" distL="0" distR="0">
                <wp:extent cx="8800465" cy="8010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560" cy="8010360"/>
                          <a:chOff x="0" y="0"/>
                          <a:chExt cx="8800560" cy="80103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720"/>
                            <a:ext cx="88005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342360" y="0"/>
                            <a:ext cx="3428280" cy="2285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4457160" y="0"/>
                            <a:ext cx="4231080" cy="2285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455760" y="2513880"/>
                            <a:ext cx="8114760" cy="297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92.95pt;height:630.75pt" coordorigin="0,0" coordsize="13859,12615">
                <v:rect id="shape_0" stroked="f" o:allowincell="f" style="position:absolute;left:0;top:1;width:13858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t" o:allowincell="f" style="position:absolute;left:539;top:0;width:5398;height:3598;mso-wrap-style:none;v-text-anchor:middle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Liberation Serif" w:hAnsi="Liberation Serif" w:eastAsia="Noto Serif TC" w:cs="Lucida San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7019;top:0;width:6662;height:3598;mso-wrap-style:none;v-text-anchor:middle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Liberation Serif" w:hAnsi="Liberation Serif" w:eastAsia="Noto Serif TC" w:cs="Lucida San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718;top:3959;width:12778;height:4678;mso-wrap-style:none;v-text-anchor:middle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Liberation Serif" w:hAnsi="Liberation Serif" w:eastAsia="Noto Serif TC" w:cs="Lucida San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Calibri" w:hAnsi="Calibri" w:cs="Calibri" w:eastAsia="Calibri"/>
          <w:color w:val="000000"/>
          <w:sz w:val="32"/>
        </w:rPr>
        <w:t xml:space="preserve">   </w:t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  <w:lang w:val="zh-TW" w:eastAsia="zh-TW"/>
        </w:rPr>
      </w:pPr>
      <w:r>
        <w:rPr>
          <w:rFonts w:eastAsia="標楷體" w:cs="Calibri" w:ascii="Calibri" w:hAnsi="Calibri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  <w:lang w:val="zh-TW" w:eastAsia="zh-TW"/>
        </w:rPr>
      </w:pPr>
      <w:r>
        <w:rPr>
          <w:rFonts w:eastAsia="標楷體" w:cs="Calibri" w:ascii="Calibri" w:hAnsi="Calibri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z w:val="52"/>
                              </w:rPr>
                              <w:t>使用呼吸器病人轉送檢查室標準操作規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 w:cs="標楷體"/>
                          <w:color w:val="000000"/>
                          <w:sz w:val="52"/>
                        </w:rPr>
                      </w:pPr>
                      <w:r>
                        <w:rPr>
                          <w:rFonts w:eastAsia="標楷體" w:cs="標楷體" w:ascii="標楷體" w:hAnsi="標楷體"/>
                          <w:color w:val="000000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z w:val="52"/>
                        </w:rPr>
                        <w:t>使用呼吸器病人轉送檢查室標準操作規</w:t>
                      </w:r>
                      <w:r>
                        <w:rPr>
                          <w:rFonts w:eastAsia="標楷體"/>
                          <w:sz w:val="52"/>
                        </w:rPr>
                        <w:t>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  <w:lang w:val="zh-TW" w:eastAsia="zh-TW"/>
        </w:rPr>
      </w:pPr>
      <w:r>
        <w:rPr>
          <w:rFonts w:eastAsia="標楷體" w:cs="Calibri" w:ascii="Calibri" w:hAnsi="Calibri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3886200</wp:posOffset>
                </wp:positionH>
                <wp:positionV relativeFrom="paragraph">
                  <wp:posOffset>25400</wp:posOffset>
                </wp:positionV>
                <wp:extent cx="4648200" cy="102743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0274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/AUPW00-A043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80.9pt;mso-wrap-distance-left:9.05pt;mso-wrap-distance-right:9.05pt;mso-wrap-distance-top:0pt;mso-wrap-distance-bottom:0pt;margin-top: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/AUPW00-A043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106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20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</w:rPr>
      </w:pPr>
      <w:r>
        <w:rPr>
          <w:rFonts w:eastAsia="標楷體" w:cs="Calibri" w:ascii="Calibri" w:hAnsi="Calibri"/>
          <w:color w:val="000000"/>
          <w:sz w:val="32"/>
        </w:rPr>
      </w:r>
    </w:p>
    <w:p>
      <w:pPr>
        <w:pStyle w:val="Normal"/>
        <w:spacing w:lineRule="exact" w:line="320"/>
        <w:rPr>
          <w:rFonts w:ascii="Calibri" w:hAnsi="Calibri" w:eastAsia="標楷體" w:cs="Calibri"/>
          <w:color w:val="000000"/>
          <w:sz w:val="32"/>
          <w:u w:val="single"/>
          <w:lang w:val="zh-TW" w:eastAsia="zh-TW"/>
        </w:rPr>
      </w:pPr>
      <w:r>
        <w:rPr>
          <w:rFonts w:eastAsia="標楷體" w:cs="Calibri" w:ascii="Calibri" w:hAnsi="Calibri"/>
          <w:color w:val="000000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2400300</wp:posOffset>
                </wp:positionH>
                <wp:positionV relativeFrom="paragraph">
                  <wp:posOffset>-187960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14.8pt;mso-position-vertical-relative:text;margin-left:18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  <w:lang w:val="zh-TW" w:eastAsia="zh-TW"/>
        </w:rPr>
      </w:pPr>
      <w:r>
        <w:rPr>
          <w:rFonts w:eastAsia="標楷體" w:cs="Calibri" w:ascii="Calibri" w:hAnsi="Calibri"/>
          <w:color w:val="000000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-4445</wp:posOffset>
                </wp:positionH>
                <wp:positionV relativeFrom="paragraph">
                  <wp:posOffset>101600</wp:posOffset>
                </wp:positionV>
                <wp:extent cx="9010650" cy="4868545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8685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 任 本 職 務 執 行 作 業 者 ， 應 詳 讀 本 手 冊 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 嚴 格 遵 照 執 行 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倘 若 對 所 訂 內 容 有 疑 問 ， 應 即 向 直 屬 主 管 請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 ， 務 必 求 得 徹 底 瞭 解</w:t>
                            </w:r>
                            <w:r>
                              <w:rPr>
                                <w:rFonts w:ascii="標楷體" w:hAnsi="標楷體" w:eastAsia="標楷體"/>
                                <w:color w:val="FF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 止 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對 所 訂 內 容 如 有 改 善 意 見 時 ， 應 反 應 直 屬 主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8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 並 作 充 分 溝 通 ， 俾 使 內 容 更 為 完 整 。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83.35pt;mso-wrap-distance-left:9.05pt;mso-wrap-distance-right:9.05pt;mso-wrap-distance-top:0pt;mso-wrap-distance-bottom:0pt;margin-top:8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 任 本 職 務 執 行 作 業 者 ， 應 詳 讀 本 手 冊 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 嚴 格 遵 照 執 行 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倘 若 對 所 訂 內 容 有 疑 問 ， 應 即 向 直 屬 主 管 請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 ， 務 必 求 得 徹 底 瞭 解</w:t>
                      </w:r>
                      <w:r>
                        <w:rPr>
                          <w:rFonts w:ascii="標楷體" w:hAnsi="標楷體" w:eastAsia="標楷體"/>
                          <w:color w:val="FF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 止 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對 所 訂 內 容 如 有 改 善 意 見 時 ， 應 反 應 直 屬 主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8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 並 作 充 分 溝 通 ， 俾 使 內 容 更 為 完 整 。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Calibri" w:hAnsi="Calibri" w:eastAsia="標楷體" w:cs="Calibri"/>
          <w:color w:val="000000"/>
          <w:sz w:val="32"/>
          <w:u w:val="single"/>
        </w:rPr>
      </w:pPr>
      <w:r>
        <w:rPr>
          <w:rFonts w:eastAsia="標楷體" w:cs="Calibri" w:ascii="Calibri" w:hAnsi="Calibri"/>
          <w:color w:val="000000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使用呼吸器病人轉送檢查室</w:t>
      </w:r>
      <w:r>
        <w:rPr>
          <w:rFonts w:eastAsia="標楷體"/>
          <w:sz w:val="32"/>
          <w:szCs w:val="32"/>
          <w:u w:val="single"/>
        </w:rPr>
        <w:t>標準操作規範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一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AUNW00/AUPW00-A043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5-1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234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4"/>
        <w:gridCol w:w="250"/>
        <w:gridCol w:w="4061"/>
        <w:gridCol w:w="2694"/>
        <w:gridCol w:w="3885"/>
      </w:tblGrid>
      <w:tr>
        <w:trPr/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適 用 範 圍</w:t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</w:p>
        </w:tc>
      </w:tr>
      <w:tr>
        <w:trPr/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一、確保病人在轉送過程中，維持適當的氧合及通氣。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、確保病人在檢查室檢查過程中，維持適當的氧合及通氣。</w:t>
            </w:r>
          </w:p>
        </w:tc>
        <w:tc>
          <w:tcPr>
            <w:tcW w:w="4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ㄧ、對象</w:t>
            </w:r>
          </w:p>
          <w:p>
            <w:pPr>
              <w:pStyle w:val="Style19"/>
              <w:spacing w:lineRule="exact" w:line="320"/>
              <w:ind w:left="0" w:hanging="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（一）院內加護病房病人使用呼吸器轉送檢查室送檢過程，以轉送型呼吸器執行。</w:t>
            </w:r>
          </w:p>
          <w:p>
            <w:pPr>
              <w:pStyle w:val="Style19"/>
              <w:spacing w:lineRule="exact" w:line="320"/>
              <w:ind w:left="0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（二）其他單位（如：開刀房、急診、病房、洗腎室），則依照病人交接與轉送作業要點（</w:t>
            </w:r>
            <w:r>
              <w:rPr>
                <w:rFonts w:eastAsia="標楷體" w:cs="標楷體" w:ascii="標楷體" w:hAnsi="標楷體"/>
              </w:rPr>
              <w:t>D85001</w:t>
            </w:r>
            <w:r>
              <w:rPr>
                <w:rFonts w:ascii="標楷體" w:hAnsi="標楷體" w:cs="標楷體" w:eastAsia="標楷體"/>
              </w:rPr>
              <w:t>）進行轉送。</w:t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一、甦</w:t>
            </w:r>
            <w:r>
              <w:rPr>
                <w:rFonts w:eastAsia="標楷體"/>
              </w:rPr>
              <w:t>醒球</w:t>
            </w:r>
            <w:r>
              <w:rPr>
                <w:rFonts w:ascii="標楷體" w:hAnsi="標楷體" w:cs="標楷體" w:eastAsia="標楷體"/>
              </w:rPr>
              <w:t>、需要時加上甦醒球陽壓末正壓調節閥（</w:t>
            </w:r>
            <w:r>
              <w:rPr>
                <w:rFonts w:eastAsia="標楷體" w:cs="標楷體" w:ascii="標楷體" w:hAnsi="標楷體"/>
              </w:rPr>
              <w:t>Ambu PEEP valve</w:t>
            </w:r>
            <w:r>
              <w:rPr>
                <w:rFonts w:ascii="標楷體" w:hAnsi="標楷體" w:cs="標楷體" w:eastAsia="標楷體"/>
              </w:rPr>
              <w:t>）或</w:t>
            </w:r>
            <w:r>
              <w:rPr>
                <w:rFonts w:eastAsia="標楷體"/>
              </w:rPr>
              <w:t>儲氣袋、</w:t>
            </w:r>
            <w:r>
              <w:rPr>
                <w:rFonts w:ascii="標楷體" w:hAnsi="標楷體" w:cs="標楷體" w:eastAsia="標楷體"/>
              </w:rPr>
              <w:t>甦醒球面罩備用（由被轉送病人照護單位提供）。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轉送型呼吸器、加長型呼吸氣管路及</w:t>
            </w:r>
            <w:r>
              <w:rPr>
                <w:rFonts w:eastAsia="標楷體"/>
              </w:rPr>
              <w:t>flow sensor line</w:t>
            </w:r>
            <w:r>
              <w:rPr>
                <w:rFonts w:eastAsia="標楷體"/>
              </w:rPr>
              <w:t>、氧氣雙頭管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例如</w:t>
            </w:r>
            <w:r>
              <w:rPr>
                <w:rFonts w:eastAsia="標楷體"/>
              </w:rPr>
              <w:t>Hamilton C1</w:t>
            </w:r>
            <w:r>
              <w:rPr>
                <w:rFonts w:eastAsia="標楷體"/>
              </w:rPr>
              <w:t>（儲備電量充足）。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三、熱濕交換細菌過濾器（</w:t>
            </w:r>
            <w:r>
              <w:rPr>
                <w:rFonts w:eastAsia="標楷體" w:cs="標楷體" w:ascii="標楷體" w:hAnsi="標楷體"/>
              </w:rPr>
              <w:t>HMEF</w:t>
            </w:r>
            <w:r>
              <w:rPr>
                <w:rFonts w:ascii="標楷體" w:hAnsi="標楷體" w:cs="標楷體" w:eastAsia="標楷體"/>
              </w:rPr>
              <w:t>）。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四、氧氣鋼瓶（由被轉送病人照護單位提供）。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五、可攜式生理監視器（由被轉送病人照護單位提供）。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六、聽診器</w:t>
            </w:r>
          </w:p>
          <w:p>
            <w:pPr>
              <w:pStyle w:val="Normal"/>
              <w:spacing w:lineRule="exact" w:line="320"/>
              <w:ind w:left="120" w:hanging="1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120" w:hanging="1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備註：若同時病人有</w:t>
            </w:r>
            <w:r>
              <w:rPr>
                <w:rFonts w:eastAsia="標楷體" w:cs="標楷體" w:ascii="標楷體" w:hAnsi="標楷體"/>
              </w:rPr>
              <w:t>on ECMO</w:t>
            </w:r>
            <w:r>
              <w:rPr>
                <w:rFonts w:ascii="標楷體" w:hAnsi="標楷體" w:cs="標楷體" w:eastAsia="標楷體"/>
              </w:rPr>
              <w:t>，必要時由</w:t>
            </w:r>
            <w:r>
              <w:rPr>
                <w:rFonts w:eastAsia="標楷體" w:cs="標楷體" w:ascii="標楷體" w:hAnsi="標楷體"/>
              </w:rPr>
              <w:t>ECMO</w:t>
            </w:r>
            <w:r>
              <w:rPr>
                <w:rFonts w:ascii="標楷體" w:hAnsi="標楷體" w:cs="標楷體" w:eastAsia="標楷體"/>
              </w:rPr>
              <w:t>小組提供</w:t>
            </w:r>
            <w:r>
              <w:rPr>
                <w:rFonts w:eastAsia="標楷體" w:cs="標楷體" w:ascii="標楷體" w:hAnsi="標楷體"/>
              </w:rPr>
              <w:t xml:space="preserve">2-WAY O2 piping </w:t>
            </w:r>
            <w:r>
              <w:rPr>
                <w:rFonts w:ascii="標楷體" w:hAnsi="標楷體" w:cs="標楷體" w:eastAsia="標楷體"/>
              </w:rPr>
              <w:t xml:space="preserve">或 </w:t>
            </w:r>
            <w:r>
              <w:rPr>
                <w:rFonts w:eastAsia="標楷體" w:cs="標楷體" w:ascii="標楷體" w:hAnsi="標楷體"/>
              </w:rPr>
              <w:t>2-WAY Air piping</w:t>
            </w:r>
            <w:r>
              <w:rPr>
                <w:rFonts w:ascii="標楷體" w:hAnsi="標楷體" w:cs="標楷體" w:eastAsia="標楷體"/>
              </w:rPr>
              <w:t>。</w:t>
            </w:r>
          </w:p>
        </w:tc>
      </w:tr>
      <w:tr>
        <w:trPr>
          <w:trHeight w:val="460" w:hRule="atLeast"/>
        </w:trPr>
        <w:tc>
          <w:tcPr>
            <w:tcW w:w="3344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50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高雄長庚紀念醫院</w:t>
            </w: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呼吸治療科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106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</w:tbl>
    <w:p>
      <w:pPr>
        <w:pStyle w:val="Normal"/>
        <w:jc w:val="center"/>
        <w:rPr>
          <w:rFonts w:eastAsia="標楷體"/>
        </w:rPr>
      </w:pP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使用呼吸器病人轉送檢查室</w:t>
      </w:r>
      <w:r>
        <w:rPr>
          <w:rFonts w:eastAsia="標楷體"/>
          <w:sz w:val="32"/>
          <w:szCs w:val="32"/>
          <w:u w:val="single"/>
        </w:rPr>
        <w:t>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 xml:space="preserve">AUNW00/AUPW00-A043 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5-2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810"/>
        <w:gridCol w:w="4030"/>
        <w:gridCol w:w="2520"/>
        <w:gridCol w:w="3870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429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96"/>
            </w:tblGrid>
            <w:tr>
              <w:trPr>
                <w:trHeight w:val="240" w:hRule="atLeast"/>
              </w:trPr>
              <w:tc>
                <w:tcPr>
                  <w:tcW w:w="4296" w:type="dxa"/>
                  <w:tcBorders/>
                </w:tcPr>
                <w:p>
                  <w:pPr>
                    <w:pStyle w:val="Default"/>
                    <w:rPr/>
                  </w:pPr>
                  <w:r>
                    <w:rPr>
                      <w:rFonts w:cs="標楷體"/>
                    </w:rPr>
                    <w:t>一、</w:t>
                  </w:r>
                  <w:r>
                    <w:rPr/>
                    <w:t>檢閱病歷</w:t>
                  </w:r>
                  <w:r>
                    <w:rPr>
                      <w:rFonts w:cs="標楷體"/>
                    </w:rPr>
                    <w:t>：確定病人情況，需瞭解</w:t>
                  </w:r>
                </w:p>
              </w:tc>
            </w:tr>
          </w:tbl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（一）適應症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（二）禁忌症</w:t>
            </w:r>
          </w:p>
          <w:p>
            <w:pPr>
              <w:pStyle w:val="Default"/>
              <w:rPr>
                <w:rFonts w:cs="標楷體"/>
              </w:rPr>
            </w:pPr>
            <w:r>
              <w:rPr>
                <w:rFonts w:cs="標楷體"/>
              </w:rPr>
              <w:t xml:space="preserve">    </w:t>
            </w:r>
            <w:r>
              <w:rPr>
                <w:rFonts w:cs="標楷體"/>
              </w:rPr>
              <w:t>（三）危險性及併發症</w:t>
            </w:r>
          </w:p>
          <w:p>
            <w:pPr>
              <w:pStyle w:val="Default"/>
              <w:rPr>
                <w:rFonts w:cs="Times New Roman"/>
                <w:color w:val="000000"/>
              </w:rPr>
            </w:pPr>
            <w:r>
              <w:rPr>
                <w:rFonts w:cs="標楷體"/>
                <w:color w:val="000000"/>
              </w:rPr>
              <w:t xml:space="preserve">    </w:t>
            </w:r>
            <w:r>
              <w:rPr>
                <w:rFonts w:cs="Times New Roman"/>
                <w:color w:val="000000"/>
              </w:rPr>
              <w:t>（四）呼吸器設定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tbl>
            <w:tblPr>
              <w:tblW w:w="165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56"/>
            </w:tblGrid>
            <w:tr>
              <w:trPr>
                <w:trHeight w:val="240" w:hRule="atLeast"/>
              </w:trPr>
              <w:tc>
                <w:tcPr>
                  <w:tcW w:w="1656" w:type="dxa"/>
                  <w:tcBorders/>
                </w:tcPr>
                <w:p>
                  <w:pPr>
                    <w:pStyle w:val="Default"/>
                    <w:rPr/>
                  </w:pPr>
                  <w:r>
                    <w:rPr>
                      <w:rFonts w:cs="標楷體"/>
                    </w:rPr>
                    <w:t>二、</w:t>
                  </w:r>
                  <w:r>
                    <w:rPr/>
                    <w:t>必備工具</w:t>
                  </w:r>
                  <w:r>
                    <w:rPr/>
                    <w:t xml:space="preserve"> </w:t>
                  </w:r>
                </w:p>
              </w:tc>
            </w:tr>
          </w:tbl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（一）甦</w:t>
            </w:r>
            <w:r>
              <w:rPr>
                <w:rFonts w:eastAsia="標楷體"/>
              </w:rPr>
              <w:t>醒球</w:t>
            </w:r>
            <w:r>
              <w:rPr>
                <w:rFonts w:ascii="標楷體" w:hAnsi="標楷體" w:cs="標楷體" w:eastAsia="標楷體"/>
              </w:rPr>
              <w:t>、需要時加上甦醒球陽壓末正壓調節閥（</w:t>
            </w:r>
            <w:r>
              <w:rPr>
                <w:rFonts w:eastAsia="標楷體" w:cs="標楷體" w:ascii="標楷體" w:hAnsi="標楷體"/>
              </w:rPr>
              <w:t>Ambu PEEP valve</w:t>
            </w:r>
            <w:r>
              <w:rPr>
                <w:rFonts w:ascii="標楷體" w:hAnsi="標楷體" w:cs="標楷體" w:eastAsia="標楷體"/>
              </w:rPr>
              <w:t>）或</w:t>
            </w:r>
            <w:r>
              <w:rPr>
                <w:rFonts w:eastAsia="標楷體"/>
              </w:rPr>
              <w:t>儲氣袋、</w:t>
            </w:r>
            <w:r>
              <w:rPr>
                <w:rFonts w:ascii="標楷體" w:hAnsi="標楷體" w:cs="標楷體" w:eastAsia="標楷體"/>
              </w:rPr>
              <w:t>甦醒球面罩備用（由被轉送病人照護單位提供）。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eastAsia="標楷體"/>
              </w:rPr>
              <w:t>轉送型呼吸器、加長型呼吸氣管路及</w:t>
            </w:r>
            <w:r>
              <w:rPr>
                <w:rFonts w:eastAsia="標楷體"/>
              </w:rPr>
              <w:t>flow sensor line</w:t>
            </w:r>
            <w:r>
              <w:rPr>
                <w:rFonts w:eastAsia="標楷體"/>
              </w:rPr>
              <w:t>、氧氣雙頭管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例如</w:t>
            </w:r>
            <w:r>
              <w:rPr>
                <w:rFonts w:eastAsia="標楷體"/>
              </w:rPr>
              <w:t>Hamilton C1</w:t>
            </w:r>
            <w:r>
              <w:rPr>
                <w:rFonts w:eastAsia="標楷體"/>
              </w:rPr>
              <w:t>（儲備電量充足）。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（三）熱濕交換細菌過濾器（</w:t>
            </w:r>
            <w:r>
              <w:rPr>
                <w:rFonts w:eastAsia="標楷體" w:cs="標楷體" w:ascii="標楷體" w:hAnsi="標楷體"/>
              </w:rPr>
              <w:t>HMEF</w:t>
            </w:r>
            <w:r>
              <w:rPr>
                <w:rFonts w:ascii="標楷體" w:hAnsi="標楷體" w:cs="標楷體" w:eastAsia="標楷體"/>
              </w:rPr>
              <w:t>）。</w:t>
            </w:r>
          </w:p>
          <w:p>
            <w:pPr>
              <w:pStyle w:val="Default"/>
              <w:rPr>
                <w:rFonts w:cs="標楷體"/>
              </w:rPr>
            </w:pPr>
            <w:r>
              <w:rPr>
                <w:rFonts w:cs="標楷體"/>
              </w:rPr>
              <w:t>（四）氧氣鋼瓶（由被轉送病人照護單位提供）。</w:t>
            </w:r>
          </w:p>
          <w:p>
            <w:pPr>
              <w:pStyle w:val="Default"/>
              <w:rPr>
                <w:rFonts w:cs="Times New Roman"/>
                <w:color w:val="000000"/>
              </w:rPr>
            </w:pPr>
            <w:r>
              <w:rPr>
                <w:rFonts w:cs="標楷體"/>
              </w:rPr>
              <w:t>（五）可攜式生理監視器（由被轉送病人照護單位提供）。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備註：若同時病人有</w:t>
            </w:r>
            <w:r>
              <w:rPr>
                <w:rFonts w:eastAsia="標楷體" w:cs="標楷體" w:ascii="標楷體" w:hAnsi="標楷體"/>
              </w:rPr>
              <w:t>on ECMO</w:t>
            </w:r>
            <w:r>
              <w:rPr>
                <w:rFonts w:ascii="標楷體" w:hAnsi="標楷體" w:cs="標楷體" w:eastAsia="標楷體"/>
              </w:rPr>
              <w:t>，必要時由</w:t>
            </w:r>
            <w:r>
              <w:rPr>
                <w:rFonts w:eastAsia="標楷體" w:cs="標楷體" w:ascii="標楷體" w:hAnsi="標楷體"/>
              </w:rPr>
              <w:t>ECMO</w:t>
            </w:r>
            <w:r>
              <w:rPr>
                <w:rFonts w:ascii="標楷體" w:hAnsi="標楷體" w:cs="標楷體" w:eastAsia="標楷體"/>
              </w:rPr>
              <w:t>小組提供</w:t>
            </w:r>
            <w:r>
              <w:rPr>
                <w:rFonts w:eastAsia="標楷體" w:cs="標楷體" w:ascii="標楷體" w:hAnsi="標楷體"/>
              </w:rPr>
              <w:t xml:space="preserve">2-WAY O2 piping </w:t>
            </w:r>
            <w:r>
              <w:rPr>
                <w:rFonts w:ascii="標楷體" w:hAnsi="標楷體" w:cs="標楷體" w:eastAsia="標楷體"/>
              </w:rPr>
              <w:t xml:space="preserve">或 </w:t>
            </w:r>
            <w:r>
              <w:rPr>
                <w:rFonts w:eastAsia="標楷體" w:cs="標楷體" w:ascii="標楷體" w:hAnsi="標楷體"/>
              </w:rPr>
              <w:t>2-WAY Air piping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三、確認病人及嚴重度等級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依病人辨識標準作業規範</w:t>
            </w:r>
            <w:r>
              <w:rPr>
                <w:rFonts w:eastAsia="標楷體" w:cs="標楷體" w:ascii="標楷體" w:hAnsi="標楷體"/>
              </w:rPr>
              <w:t>(AUNW00/AUPW00-A035)</w:t>
            </w:r>
            <w:r>
              <w:rPr>
                <w:rFonts w:ascii="標楷體" w:hAnsi="標楷體" w:cs="標楷體" w:eastAsia="標楷體"/>
              </w:rPr>
              <w:t>確認病      人，核對床號、核對床頭卡上的病人名字、核對手圈。</w:t>
            </w:r>
          </w:p>
        </w:tc>
        <w:tc>
          <w:tcPr>
            <w:tcW w:w="6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ㄧ、適應症：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院內使用呼吸器病人轉送檢查室的轉送過程。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二、禁忌症：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（一）無法以人工通氣或轉送型呼吸器提供適當氧合及通氣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（二）在轉送過程中無法維持可接受血液動力學。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（三）在轉送過程中無法適當監測病人心肺狀態。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（四）在轉送過程中無法維持氣道。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（五）除非負責轉送的人員全部都到齊，否則不能轉送。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ascii="標楷體" w:hAnsi="標楷體" w:cs="標楷體" w:eastAsia="標楷體"/>
              </w:rPr>
              <w:t>、危險性及併發症：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（一）人工通氣時過度通氣，可能造成</w:t>
            </w:r>
            <w:r>
              <w:rPr>
                <w:rFonts w:ascii="標楷體" w:hAnsi="標楷體" w:cs="Arial" w:eastAsia="標楷體"/>
                <w:color w:val="222222"/>
              </w:rPr>
              <w:t>呼吸性鹼中毒，心律不整及低血壓。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（二）無吐氣末正壓（</w:t>
            </w:r>
            <w:r>
              <w:rPr>
                <w:kern w:val="0"/>
                <w:sz w:val="22"/>
                <w:szCs w:val="22"/>
              </w:rPr>
              <w:t>PEEP/CPAP</w:t>
            </w:r>
            <w:r>
              <w:rPr>
                <w:rFonts w:ascii="標楷體" w:hAnsi="標楷體" w:cs="標楷體" w:eastAsia="標楷體"/>
              </w:rPr>
              <w:t>）可能造成低血氧或休克。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（三）姿位的改變，可能造成低血壓、高碳酸血症及低血氧。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（四）轉送過程中可能伴隨心跳過速和心律異常。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（五）轉送呼吸器設備異常（應以甦醒球維持通氣）。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（六）靜脈給藥，若不小心脫落，可能造成血液動力學不穩定。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（七）移動病人時，可能造成通氣支持脫落。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（八）移動病人時，可能會造成意外拔管。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（九）移動病人時，可能會意外拔除血管通路（</w:t>
            </w:r>
            <w:r>
              <w:rPr>
                <w:kern w:val="0"/>
                <w:sz w:val="22"/>
                <w:szCs w:val="22"/>
              </w:rPr>
              <w:t>vascular access</w:t>
            </w:r>
            <w:r>
              <w:rPr>
                <w:rFonts w:ascii="標楷體" w:hAnsi="標楷體" w:cs="標楷體" w:eastAsia="標楷體"/>
              </w:rPr>
              <w:t>）。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（十）喪失氧氣供給，可能造成低血氧。</w:t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（十一）轉送過程中可能造成呼吸器相關性肺炎。</w:t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810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ind w:left="62" w:hanging="0"/>
              <w:rPr>
                <w:rFonts w:eastAsia="標楷體"/>
              </w:rPr>
            </w:pPr>
            <w:r>
              <w:rPr>
                <w:rFonts w:eastAsia="標楷體"/>
              </w:rPr>
              <w:t>高雄長庚紀念醫院</w:t>
            </w: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呼吸治療科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106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使用呼吸器病人轉送檢查室</w:t>
      </w:r>
      <w:r>
        <w:rPr>
          <w:rFonts w:eastAsia="標楷體"/>
          <w:sz w:val="32"/>
          <w:szCs w:val="32"/>
          <w:u w:val="single"/>
        </w:rPr>
        <w:t>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 xml:space="preserve">AUNW00/AUPW00-A043 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5-3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820"/>
        <w:gridCol w:w="4020"/>
        <w:gridCol w:w="2520"/>
        <w:gridCol w:w="3870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四、依照病人交接與轉送作業要點（</w:t>
            </w:r>
            <w:r>
              <w:rPr>
                <w:rFonts w:eastAsia="標楷體" w:cs="標楷體" w:ascii="標楷體" w:hAnsi="標楷體"/>
              </w:rPr>
              <w:t>D85001</w:t>
            </w:r>
            <w:r>
              <w:rPr>
                <w:rFonts w:ascii="標楷體" w:hAnsi="標楷體" w:cs="標楷體" w:eastAsia="標楷體"/>
              </w:rPr>
              <w:t>）進行轉送前之說明與解釋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五、執行步驟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（一）需隨同轉送之人員到齊，如醫師、護理師及呼吸治療師。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（二）可攜式監測器監測病人心跳速率、呼吸次數、脈搏式血氧飽和度及血壓。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（三）確認病人人工氣道位置正確且固定良好。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（四）若病人呼吸道分泌物多，必須於轉送前先抽吸分泌物。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（五）維持病人轉送過程中適當氧合及通氣。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（六）病人到達檢查室，呼吸器接上檢查室的氣源及電源。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（七）檢查完成後轉送病人回單位及接上呼吸器。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六、轉送完成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（一）洗手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（二）呼吸治療科呼吸器病患送檢記錄單填寫完整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◎</w:t>
            </w:r>
            <w:r>
              <w:rPr>
                <w:rFonts w:ascii="標楷體" w:hAnsi="標楷體" w:cs="標楷體" w:eastAsia="標楷體"/>
              </w:rPr>
              <w:t>備註：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（一）呼吸器病人使用高氧氣濃度轉送時（</w:t>
            </w:r>
            <w:r>
              <w:rPr>
                <w:rFonts w:eastAsia="標楷體" w:cs="標楷體" w:ascii="標楷體" w:hAnsi="標楷體"/>
              </w:rPr>
              <w:t>FiO2&gt;0.5</w:t>
            </w:r>
            <w:r>
              <w:rPr>
                <w:rFonts w:ascii="標楷體" w:hAnsi="標楷體" w:cs="標楷體" w:eastAsia="標楷體"/>
              </w:rPr>
              <w:t>），甦醒球需加入</w:t>
            </w:r>
            <w:r>
              <w:rPr>
                <w:rFonts w:eastAsia="標楷體"/>
              </w:rPr>
              <w:t>儲氣袋，</w:t>
            </w:r>
            <w:r>
              <w:rPr>
                <w:rFonts w:eastAsia="標楷體" w:cs="標楷體" w:ascii="標楷體" w:hAnsi="標楷體"/>
              </w:rPr>
              <w:t>PEEP</w:t>
            </w:r>
            <w:r>
              <w:rPr>
                <w:rFonts w:ascii="標楷體" w:hAnsi="標楷體" w:cs="標楷體" w:eastAsia="標楷體"/>
              </w:rPr>
              <w:t>＞</w:t>
            </w:r>
            <w:r>
              <w:rPr>
                <w:rFonts w:eastAsia="標楷體" w:cs="標楷體" w:ascii="標楷體" w:hAnsi="標楷體"/>
              </w:rPr>
              <w:t>10cmH2O</w:t>
            </w:r>
            <w:r>
              <w:rPr>
                <w:rFonts w:ascii="標楷體" w:hAnsi="標楷體" w:cs="標楷體" w:eastAsia="標楷體"/>
              </w:rPr>
              <w:t>時，甦醒球需加入陽壓末正壓調節閥（</w:t>
            </w:r>
            <w:r>
              <w:rPr>
                <w:rFonts w:eastAsia="標楷體" w:cs="標楷體" w:ascii="標楷體" w:hAnsi="標楷體"/>
              </w:rPr>
              <w:t>PEEP valve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eastAsia="標楷體"/>
              </w:rPr>
              <w:t>，盡可能維持足夠的氧合。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◎</w:t>
            </w:r>
            <w:r>
              <w:rPr>
                <w:rFonts w:ascii="標楷體" w:hAnsi="標楷體" w:cs="標楷體" w:eastAsia="標楷體"/>
              </w:rPr>
              <w:t>轉送前注意事項：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（一）轉送前確認所有儀器功能正常、配件完整、電量充足並確定轉送目的地。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（二）氧氣量除轉送過程來回所需之使用量外，另須至少多備</w:t>
            </w:r>
            <w:r>
              <w:rPr>
                <w:rFonts w:eastAsia="標楷體" w:cs="標楷體" w:ascii="標楷體" w:hAnsi="標楷體"/>
              </w:rPr>
              <w:t>30</w:t>
            </w:r>
            <w:r>
              <w:rPr>
                <w:rFonts w:ascii="標楷體" w:hAnsi="標楷體" w:cs="標楷體" w:eastAsia="標楷體"/>
              </w:rPr>
              <w:t>分鐘的儲備量。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（三）確認病人人工氣道位置正確且固定良好。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（四）移動病人時須注意呼吸器擺放位置，避免掉落。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（五）若病人呼吸道分泌物多，必須於轉送前先抽吸分泌物。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（六）病人若有傳染性疑慮時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如開放性肺結核或疥瘡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，應採取必要之隔離或防護措施，並依感控原則安排受檢或治療時間。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◎</w:t>
            </w:r>
            <w:r>
              <w:rPr>
                <w:rFonts w:ascii="標楷體" w:hAnsi="標楷體" w:cs="標楷體" w:eastAsia="標楷體"/>
              </w:rPr>
              <w:t>轉送中注意事項：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（一）維持呼吸道暢通，確保人工氣道位置正確且固定良好。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（二）監測器應維持在轉送人員視線範圍內，並設定適當的警告值範圍。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◎</w:t>
            </w:r>
            <w:r>
              <w:rPr>
                <w:rFonts w:ascii="標楷體" w:hAnsi="標楷體" w:cs="標楷體" w:eastAsia="標楷體"/>
              </w:rPr>
              <w:t>備註：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（二）呼吸器轉送過程中，使用外接氧氣鋼瓶時，氧氣用量計算公式如下。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例：使用</w:t>
            </w:r>
            <w:r>
              <w:rPr>
                <w:rFonts w:eastAsia="標楷體" w:cs="標楷體" w:ascii="標楷體" w:hAnsi="標楷體"/>
              </w:rPr>
              <w:t>E</w:t>
            </w:r>
            <w:r>
              <w:rPr>
                <w:rFonts w:ascii="標楷體" w:hAnsi="標楷體" w:cs="標楷體" w:eastAsia="標楷體"/>
              </w:rPr>
              <w:t>型鋼瓶時，打開壓力錶確認剩餘壓力（假設</w:t>
            </w:r>
            <w:r>
              <w:rPr>
                <w:rFonts w:eastAsia="標楷體" w:cs="標楷體" w:ascii="標楷體" w:hAnsi="標楷體"/>
              </w:rPr>
              <w:t>1200psi</w:t>
            </w:r>
            <w:r>
              <w:rPr>
                <w:rFonts w:ascii="標楷體" w:hAnsi="標楷體" w:cs="標楷體" w:eastAsia="標楷體"/>
              </w:rPr>
              <w:t>），使用流量：</w:t>
            </w:r>
            <w:r>
              <w:rPr>
                <w:rFonts w:eastAsia="標楷體" w:cs="標楷體" w:ascii="標楷體" w:hAnsi="標楷體"/>
              </w:rPr>
              <w:t>8L/min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算法：</w:t>
            </w:r>
            <w:r>
              <w:rPr>
                <w:rFonts w:eastAsia="標楷體" w:cs="標楷體" w:ascii="標楷體" w:hAnsi="標楷體"/>
              </w:rPr>
              <w:t>1200(</w:t>
            </w:r>
            <w:r>
              <w:rPr>
                <w:rFonts w:ascii="標楷體" w:hAnsi="標楷體" w:cs="標楷體" w:eastAsia="標楷體"/>
              </w:rPr>
              <w:t>剩餘壓力值</w:t>
            </w:r>
            <w:r>
              <w:rPr>
                <w:rFonts w:eastAsia="標楷體" w:cs="標楷體" w:ascii="標楷體" w:hAnsi="標楷體"/>
              </w:rPr>
              <w:t>)×0.28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E</w:t>
            </w:r>
            <w:r>
              <w:rPr>
                <w:rFonts w:ascii="標楷體" w:hAnsi="標楷體" w:cs="標楷體" w:eastAsia="標楷體"/>
              </w:rPr>
              <w:t>型鋼瓶係數）</w:t>
            </w:r>
            <w:r>
              <w:rPr>
                <w:rFonts w:eastAsia="標楷體" w:cs="標楷體" w:ascii="標楷體" w:hAnsi="標楷體"/>
              </w:rPr>
              <w:t>÷8</w:t>
            </w:r>
            <w:r>
              <w:rPr>
                <w:rFonts w:ascii="標楷體" w:hAnsi="標楷體" w:cs="標楷體" w:eastAsia="標楷體"/>
              </w:rPr>
              <w:t>（使用流量）＝</w:t>
            </w:r>
            <w:r>
              <w:rPr>
                <w:rFonts w:eastAsia="標楷體" w:cs="標楷體" w:ascii="標楷體" w:hAnsi="標楷體"/>
              </w:rPr>
              <w:t>42min</w:t>
            </w:r>
            <w:r>
              <w:rPr>
                <w:rFonts w:ascii="標楷體" w:hAnsi="標楷體" w:cs="標楷體" w:eastAsia="標楷體"/>
              </w:rPr>
              <w:t>（可使用分鐘數）。</w:t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820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ind w:left="52" w:hanging="0"/>
              <w:rPr>
                <w:rFonts w:eastAsia="標楷體"/>
              </w:rPr>
            </w:pPr>
            <w:r>
              <w:rPr>
                <w:rFonts w:eastAsia="標楷體"/>
              </w:rPr>
              <w:t>高雄長庚紀念醫院</w:t>
            </w: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呼吸治療科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106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使用呼吸器病人轉送檢查室</w:t>
      </w:r>
      <w:r>
        <w:rPr>
          <w:rFonts w:eastAsia="標楷體"/>
          <w:sz w:val="32"/>
          <w:szCs w:val="32"/>
          <w:u w:val="single"/>
        </w:rPr>
        <w:t>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三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AUNW00/AUPW00-A043</w:t>
      </w:r>
    </w:p>
    <w:p>
      <w:pPr>
        <w:pStyle w:val="Normal"/>
        <w:spacing w:lineRule="exact" w:line="320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5-4</w:t>
      </w:r>
      <w:r>
        <w:rPr>
          <w:rFonts w:eastAsia="標楷體" w:ascii="標楷體" w:hAnsi="標楷體"/>
          <w:sz w:val="28"/>
        </w:rPr>
        <w:t xml:space="preserve">  </w:t>
      </w:r>
      <w:r>
        <w:rPr>
          <w:rFonts w:eastAsia="標楷體" w:ascii="標楷體" w:hAnsi="標楷體"/>
        </w:rPr>
        <w:t xml:space="preserve">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430"/>
        <w:gridCol w:w="167"/>
        <w:gridCol w:w="3944"/>
        <w:gridCol w:w="2567"/>
        <w:gridCol w:w="3812"/>
      </w:tblGrid>
      <w:tr>
        <w:trPr>
          <w:trHeight w:val="567" w:hRule="atLeast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異  常  狀  況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發    生    原    因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處       理       對       策</w:t>
            </w:r>
          </w:p>
        </w:tc>
      </w:tr>
      <w:tr>
        <w:trPr>
          <w:trHeight w:val="567" w:hRule="atLeast"/>
          <w:cantSplit w:val="true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1.</w:t>
            </w:r>
            <w:r>
              <w:rPr>
                <w:rFonts w:ascii="標楷體" w:hAnsi="標楷體" w:eastAsia="標楷體"/>
              </w:rPr>
              <w:t>低血氧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氧氣量不足或呼吸器設定不適當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ind w:left="240" w:hanging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更換氧氣鋼瓶或調整呼吸器設定並確定人工氣道的完整性</w:t>
            </w:r>
          </w:p>
        </w:tc>
      </w:tr>
      <w:tr>
        <w:trPr>
          <w:trHeight w:val="567" w:hRule="atLeast"/>
          <w:cantSplit w:val="true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意外拔管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氣管內管未固定良好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立即用甦醒面罩給予通氣及重新插管</w:t>
            </w:r>
          </w:p>
        </w:tc>
      </w:tr>
      <w:tr>
        <w:trPr>
          <w:trHeight w:val="1754" w:hRule="atLeast"/>
          <w:cantSplit w:val="true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/>
            </w:pP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氧氣鋼瓶無法供應足夠氧氣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氧氣鋼瓶供給不足或病況變化導致氧氣鋼瓶供氧量不敷使用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ind w:left="240" w:hanging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協助告知醫療團隊準備氧氣鋼瓶備品，並協助病人移動至最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近的氧氣設備供應處</w:t>
            </w:r>
          </w:p>
        </w:tc>
      </w:tr>
      <w:tr>
        <w:trPr>
          <w:trHeight w:val="567" w:hRule="atLeast"/>
          <w:cantSplit w:val="true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4.</w:t>
            </w:r>
            <w:r>
              <w:rPr>
                <w:rFonts w:ascii="標楷體" w:hAnsi="標楷體" w:eastAsia="標楷體"/>
              </w:rPr>
              <w:t>轉送呼吸器設備異常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呼吸器電池電力用罄或接線接觸不良或儀器故障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 w:before="240" w:after="240"/>
              <w:ind w:left="240" w:hanging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應以甦醒球維持病人通氣</w:t>
            </w:r>
          </w:p>
        </w:tc>
      </w:tr>
      <w:tr>
        <w:trPr>
          <w:trHeight w:val="2298" w:hRule="atLeast"/>
          <w:cantSplit w:val="true"/>
        </w:trPr>
        <w:tc>
          <w:tcPr>
            <w:tcW w:w="13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 w:before="240" w:after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70" w:hRule="atLeast"/>
        </w:trPr>
        <w:tc>
          <w:tcPr>
            <w:tcW w:w="3430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6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 w:before="240" w:after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2" w:hanging="0"/>
              <w:rPr>
                <w:rFonts w:ascii="標楷體" w:hAnsi="標楷體" w:eastAsia="標楷體"/>
              </w:rPr>
            </w:pPr>
            <w:r>
              <w:rPr>
                <w:rFonts w:eastAsia="標楷體"/>
              </w:rPr>
              <w:t>高雄長庚紀念醫院</w:t>
            </w: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呼吸治療科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106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使用呼吸器病人轉送檢查室</w:t>
      </w:r>
      <w:r>
        <w:rPr>
          <w:rFonts w:eastAsia="標楷體"/>
          <w:sz w:val="32"/>
          <w:szCs w:val="32"/>
          <w:u w:val="single"/>
        </w:rPr>
        <w:t>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四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AUNW00/AUPW00-A043</w:t>
      </w:r>
    </w:p>
    <w:p>
      <w:pPr>
        <w:pStyle w:val="Normal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5-5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714"/>
        <w:gridCol w:w="3827"/>
        <w:gridCol w:w="2567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參考文獻</w:t>
            </w:r>
          </w:p>
          <w:tbl>
            <w:tblPr>
              <w:tblW w:w="1389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92"/>
            </w:tblGrid>
            <w:tr>
              <w:trPr>
                <w:trHeight w:val="240" w:hRule="atLeast"/>
              </w:trPr>
              <w:tc>
                <w:tcPr>
                  <w:tcW w:w="13892" w:type="dxa"/>
                  <w:tcBorders/>
                </w:tcPr>
                <w:p>
                  <w:pPr>
                    <w:pStyle w:val="Normal"/>
                    <w:autoSpaceDE w:val="false"/>
                    <w:rPr>
                      <w:rFonts w:ascii="標楷體" w:hAnsi="標楷體" w:eastAsia="標楷體" w:cs="標楷體"/>
                    </w:rPr>
                  </w:pPr>
                  <w:r>
                    <w:rPr>
                      <w:rFonts w:eastAsia="標楷體" w:cs="標楷體" w:ascii="標楷體" w:hAnsi="標楷體"/>
                      <w:kern w:val="2"/>
                    </w:rPr>
                    <w:t>1.</w:t>
                  </w:r>
                  <w:r>
                    <w:rPr>
                      <w:rFonts w:eastAsia="標楷體" w:cs="StoneSerif-Semibold;Times New Roman" w:ascii="標楷體" w:hAnsi="標楷體"/>
                      <w:bCs/>
                      <w:kern w:val="0"/>
                    </w:rPr>
                    <w:t>AARC Clinical Practice Guideline</w:t>
                  </w:r>
                  <w:r>
                    <w:rPr>
                      <w:rFonts w:ascii="標楷體" w:hAnsi="標楷體" w:cs="StoneSerif-Semibold;Times New Roman" w:eastAsia="標楷體"/>
                      <w:bCs/>
                      <w:kern w:val="0"/>
                    </w:rPr>
                    <w:t>：</w:t>
                  </w:r>
                  <w:r>
                    <w:rPr>
                      <w:rFonts w:eastAsia="標楷體" w:cs="標楷體" w:ascii="標楷體" w:hAnsi="標楷體"/>
                      <w:bCs/>
                      <w:kern w:val="0"/>
                    </w:rPr>
                    <w:t>In-Hospital Transport of the Mechanically</w:t>
                  </w:r>
                  <w:r>
                    <w:rPr>
                      <w:rFonts w:eastAsia="標楷體" w:cs="標楷體" w:ascii="標楷體" w:hAnsi="標楷體"/>
                      <w:bCs/>
                      <w:kern w:val="0"/>
                    </w:rPr>
                    <w:t xml:space="preserve"> </w:t>
                  </w:r>
                  <w:r>
                    <w:rPr>
                      <w:rFonts w:eastAsia="標楷體" w:cs="標楷體" w:ascii="標楷體" w:hAnsi="標楷體"/>
                      <w:bCs/>
                      <w:kern w:val="0"/>
                    </w:rPr>
                    <w:t>Ventilated Patient</w:t>
                  </w:r>
                  <w:r>
                    <w:rPr>
                      <w:rFonts w:eastAsia="標楷體" w:cs="標楷體" w:ascii="標楷體" w:hAnsi="標楷體"/>
                      <w:bCs/>
                      <w:kern w:val="0"/>
                    </w:rPr>
                    <w:t>.</w:t>
                  </w:r>
                  <w:r>
                    <w:rPr>
                      <w:rFonts w:eastAsia="標楷體" w:cs="標楷體" w:ascii="標楷體" w:hAnsi="標楷體"/>
                    </w:rPr>
                    <w:t xml:space="preserve"> RESPIRATORY CARE •JUNE 2002 VOL 47 NO 6</w:t>
                  </w:r>
                </w:p>
                <w:p>
                  <w:pPr>
                    <w:pStyle w:val="Default"/>
                    <w:ind w:right="-108" w:hanging="0"/>
                    <w:rPr>
                      <w:rFonts w:cs="標楷體"/>
                    </w:rPr>
                  </w:pPr>
                  <w:r>
                    <w:rPr>
                      <w:rFonts w:cs="標楷體"/>
                    </w:rPr>
                    <w:t>2.</w:t>
                  </w:r>
                  <w:r>
                    <w:rPr>
                      <w:rFonts w:cs="標楷體"/>
                    </w:rPr>
                    <w:t>病人交接與轉送作業要點</w:t>
                  </w:r>
                  <w:r>
                    <w:rPr>
                      <w:rFonts w:cs="標楷體"/>
                    </w:rPr>
                    <w:t xml:space="preserve"> </w:t>
                  </w:r>
                  <w:r>
                    <w:rPr>
                      <w:rFonts w:cs="標楷體"/>
                    </w:rPr>
                    <w:t>長庚醫療財團法人高雄長庚紀念醫院 規章編號：</w:t>
                  </w:r>
                  <w:r>
                    <w:rPr>
                      <w:rFonts w:cs="標楷體"/>
                    </w:rPr>
                    <w:t>D85001</w:t>
                  </w:r>
                </w:p>
              </w:tc>
            </w:tr>
          </w:tbl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488" w:hRule="atLeast"/>
        </w:trPr>
        <w:tc>
          <w:tcPr>
            <w:tcW w:w="3714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高雄長庚紀念醫院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呼吸治療科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106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</w:tbl>
    <w:p>
      <w:pPr>
        <w:pStyle w:val="Normal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sectPr>
      <w:type w:val="nextPage"/>
      <w:pgSz w:orient="landscape" w:w="16838" w:h="11906"/>
      <w:pgMar w:left="1418" w:right="1418" w:gutter="0" w:header="0" w:top="1418" w:footer="0" w:bottom="1276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script"/>
    <w:pitch w:val="default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720"/>
      <w:outlineLvl w:val="1"/>
    </w:pPr>
    <w:rPr>
      <w:rFonts w:ascii="Arial" w:hAnsi="Arial" w:cs="Arial"/>
      <w:b/>
      <w:bCs/>
      <w:sz w:val="48"/>
      <w:szCs w:val="4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eastAsia="新細明體;PMingLiU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color w:val="000000"/>
      <w:lang w:val="en-U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lang w:val="en-U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標楷體" w:hAnsi="標楷體" w:cs="Times New Roman"/>
    </w:rPr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3">
    <w:name w:val="註解參照"/>
    <w:qFormat/>
    <w:rPr>
      <w:sz w:val="18"/>
      <w:szCs w:val="18"/>
    </w:rPr>
  </w:style>
  <w:style w:type="character" w:styleId="Style14">
    <w:name w:val="頁尾 字元"/>
    <w:qFormat/>
    <w:rPr>
      <w:kern w:val="2"/>
    </w:rPr>
  </w:style>
  <w:style w:type="character" w:styleId="Style15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character" w:styleId="Atn">
    <w:name w:val="atn"/>
    <w:basedOn w:val="Style12"/>
    <w:qFormat/>
    <w:rPr/>
  </w:style>
  <w:style w:type="character" w:styleId="Searchtermhighlight1">
    <w:name w:val="search-term-highlight1"/>
    <w:qFormat/>
    <w:rPr>
      <w:b/>
      <w:bCs/>
      <w:color w:val="CC0000"/>
    </w:rPr>
  </w:style>
  <w:style w:type="character" w:styleId="Emphasis">
    <w:name w:val="Emphasis"/>
    <w:qFormat/>
    <w:rPr>
      <w:i/>
      <w:iCs/>
    </w:rPr>
  </w:style>
  <w:style w:type="character" w:styleId="Postdate">
    <w:name w:val="postdate"/>
    <w:basedOn w:val="Style12"/>
    <w:qFormat/>
    <w:rPr/>
  </w:style>
  <w:style w:type="character" w:styleId="Style16">
    <w:name w:val="註解文字 字元"/>
    <w:basedOn w:val="Style12"/>
    <w:qFormat/>
    <w:rPr>
      <w:kern w:val="2"/>
      <w:sz w:val="24"/>
      <w:szCs w:val="24"/>
    </w:rPr>
  </w:style>
  <w:style w:type="character" w:styleId="Style17">
    <w:name w:val="副標題 字元"/>
    <w:basedOn w:val="Style12"/>
    <w:qFormat/>
    <w:rPr>
      <w:rFonts w:ascii="Cambria" w:hAnsi="Cambria" w:cs="Times New Roman"/>
      <w:i/>
      <w:iCs/>
      <w:kern w:val="2"/>
      <w:sz w:val="24"/>
      <w:szCs w:val="24"/>
    </w:rPr>
  </w:style>
  <w:style w:type="character" w:styleId="Style18">
    <w:name w:val="註腳文字 字元"/>
    <w:basedOn w:val="Style12"/>
    <w:qFormat/>
    <w:rPr>
      <w:kern w:val="2"/>
    </w:rPr>
  </w:style>
  <w:style w:type="character" w:styleId="FootnoteCharacters">
    <w:name w:val="Footnote Characters"/>
    <w:basedOn w:val="Style12"/>
    <w:qFormat/>
    <w:rPr>
      <w:vertAlign w:val="superscript"/>
    </w:rPr>
  </w:style>
  <w:style w:type="character" w:styleId="Shorttext">
    <w:name w:val="short_text"/>
    <w:basedOn w:val="Style12"/>
    <w:qFormat/>
    <w:rPr/>
  </w:style>
  <w:style w:type="character" w:styleId="Altedited1">
    <w:name w:val="alt-edited1"/>
    <w:basedOn w:val="Style12"/>
    <w:qFormat/>
    <w:rPr>
      <w:color w:val="4D90F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280" w:after="28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snapToGrid w:val="false"/>
    </w:pPr>
    <w:rPr>
      <w:sz w:val="20"/>
      <w:szCs w:val="20"/>
    </w:rPr>
  </w:style>
  <w:style w:type="paragraph" w:styleId="Style19">
    <w:name w:val="清單段落"/>
    <w:basedOn w:val="Normal"/>
    <w:qFormat/>
    <w:pPr>
      <w:ind w:left="480" w:hanging="0"/>
    </w:pPr>
    <w:rPr>
      <w:rFonts w:ascii="Calibri" w:hAnsi="Calibri" w:cs="Calibri"/>
      <w:szCs w:val="22"/>
    </w:rPr>
  </w:style>
  <w:style w:type="paragraph" w:styleId="Style20">
    <w:name w:val="註解方塊文字"/>
    <w:basedOn w:val="Normal"/>
    <w:qFormat/>
    <w:pPr/>
    <w:rPr>
      <w:rFonts w:ascii="Cambria" w:hAnsi="Cambria" w:cs="Cambria"/>
      <w:sz w:val="18"/>
      <w:szCs w:val="18"/>
    </w:rPr>
  </w:style>
  <w:style w:type="paragraph" w:styleId="Style21">
    <w:name w:val="註解文字"/>
    <w:basedOn w:val="Normal"/>
    <w:qFormat/>
    <w:pPr/>
    <w:rPr/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i/>
      <w:iCs/>
    </w:rPr>
  </w:style>
  <w:style w:type="paragraph" w:styleId="111">
    <w:name w:val="內文1-1-1"/>
    <w:basedOn w:val="Normal"/>
    <w:next w:val="Normal"/>
    <w:qFormat/>
    <w:pPr>
      <w:autoSpaceDE w:val="false"/>
    </w:pPr>
    <w:rPr>
      <w:rFonts w:ascii="標楷體" w:hAnsi="標楷體" w:eastAsia="標楷體"/>
      <w:kern w:val="0"/>
      <w:sz w:val="20"/>
    </w:rPr>
  </w:style>
  <w:style w:type="paragraph" w:styleId="Footnote">
    <w:name w:val="Footnote Text"/>
    <w:basedOn w:val="Normal"/>
    <w:pPr>
      <w:snapToGrid w:val="false"/>
    </w:pPr>
    <w:rPr>
      <w:sz w:val="20"/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" w:hAnsi="標楷體" w:eastAsia="標楷體" w:cs="標楷體"/>
      <w:color w:val="000000"/>
      <w:sz w:val="24"/>
      <w:szCs w:val="24"/>
      <w:lang w:val="en-US" w:eastAsia="zh-TW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528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2016-12-06T11:13:00Z</dcterms:created>
  <dc:creator>Huang</dc:creator>
  <dc:description/>
  <cp:keywords/>
  <dc:language>zh-TW</dc:language>
  <cp:lastModifiedBy>User</cp:lastModifiedBy>
  <cp:lastPrinted>2014-07-14T23:43:00Z</cp:lastPrinted>
  <dcterms:modified xsi:type="dcterms:W3CDTF">2017-10-11T21:57:00Z</dcterms:modified>
  <cp:revision>37</cp:revision>
  <dc:subject/>
  <dc:title>執 行 項 目</dc:title>
</cp:coreProperties>
</file>