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全體基層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呼吸治療技術人員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eastAsia="標楷體"/>
                          <w:sz w:val="40"/>
                        </w:rPr>
                        <w:t>全體基層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呼吸治療技術人員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34771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771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標楷體" w:eastAsia="標楷體"/>
                                <w:sz w:val="52"/>
                              </w:rPr>
                              <w:t>呼吸治療科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新型流感</w:t>
                            </w:r>
                            <w:r>
                              <w:rPr>
                                <w:rFonts w:cs="標楷體" w:eastAsia="標楷體"/>
                                <w:sz w:val="52"/>
                              </w:rPr>
                              <w:t>及高傳染性疾病照護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57.3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標楷體" w:eastAsia="標楷體"/>
                          <w:sz w:val="52"/>
                        </w:rPr>
                        <w:t>呼吸治療科</w:t>
                      </w:r>
                      <w:r>
                        <w:rPr>
                          <w:rFonts w:eastAsia="標楷體"/>
                          <w:sz w:val="52"/>
                        </w:rPr>
                        <w:t>新型流感</w:t>
                      </w:r>
                      <w:r>
                        <w:rPr>
                          <w:rFonts w:cs="標楷體" w:eastAsia="標楷體"/>
                          <w:sz w:val="52"/>
                        </w:rPr>
                        <w:t>及高傳染性疾病照護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8923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892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A038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49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A038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08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呼吸治療科新型流感及高傳染性疾病照護標準作業規範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984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AUNW00/AUPW00-A038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5-1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415"/>
        <w:gridCol w:w="2340"/>
        <w:gridCol w:w="2353"/>
        <w:gridCol w:w="3708"/>
        <w:gridCol w:w="12"/>
      </w:tblGrid>
      <w:tr>
        <w:trPr/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適 用 範 圍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TMLPreformatted"/>
              <w:tabs>
                <w:tab w:val="left" w:pos="672" w:leader="none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exact" w:line="400"/>
              <w:jc w:val="both"/>
              <w:rPr>
                <w:rFonts w:ascii="Times New Roman" w:hAnsi="Times New Roman" w:eastAsia="標楷體" w:cs="標楷體"/>
                <w:color w:val="000000"/>
                <w:sz w:val="24"/>
              </w:rPr>
            </w:pP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新型流感病人的呼吸道分泌物和體液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 xml:space="preserve">( 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包括腹瀉糞便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 xml:space="preserve">) 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都具有潛在的傳染性，且流感病毒可以在環境中存活數個小時，故傳染途徑主要是經由飛沫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如：感染者在近距離咳嗽或打噴嚏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>)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或接觸途徑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>(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如：直接接觸到流感病人呼吸道分泌物，或碰觸到受污染的表面、物體的間接接觸方式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>)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傳播。</w:t>
            </w:r>
          </w:p>
          <w:p>
            <w:pPr>
              <w:pStyle w:val="HTMLPreformatted"/>
              <w:tabs>
                <w:tab w:val="left" w:pos="672" w:leader="none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exact" w:line="400"/>
              <w:jc w:val="both"/>
              <w:rPr>
                <w:rFonts w:ascii="Times New Roman" w:hAnsi="Times New Roman" w:eastAsia="標楷體" w:cs="標楷體"/>
                <w:color w:val="000000"/>
                <w:sz w:val="24"/>
              </w:rPr>
            </w:pP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防治</w:t>
            </w:r>
            <w:r>
              <w:rPr>
                <w:rFonts w:ascii="Times New Roman" w:hAnsi="Times New Roman" w:cs="標楷體" w:eastAsia="標楷體"/>
                <w:color w:val="000000"/>
                <w:sz w:val="24"/>
              </w:rPr>
              <w:t>新型流感之作業目的為</w:t>
            </w:r>
            <w:r>
              <w:rPr>
                <w:rFonts w:eastAsia="標楷體" w:cs="標楷體" w:ascii="Times New Roman" w:hAnsi="Times New Roman"/>
                <w:color w:val="000000"/>
                <w:sz w:val="24"/>
              </w:rPr>
              <w:t>:</w:t>
            </w:r>
          </w:p>
          <w:p>
            <w:pPr>
              <w:pStyle w:val="Normal"/>
              <w:spacing w:lineRule="exact" w:line="400"/>
              <w:ind w:left="425" w:hanging="425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壹、</w:t>
            </w:r>
            <w:r>
              <w:rPr>
                <w:rFonts w:cs="標楷體" w:eastAsia="標楷體"/>
                <w:color w:val="000000"/>
              </w:rPr>
              <w:t>防範工作人員因照護流感病人時造成院內交互傳播</w:t>
            </w:r>
            <w:r>
              <w:rPr>
                <w:rFonts w:ascii="新細明體" w:hAnsi="新細明體" w:cs="新細明體"/>
                <w:color w:val="000000"/>
              </w:rPr>
              <w:t>。</w:t>
            </w:r>
          </w:p>
          <w:p>
            <w:pPr>
              <w:pStyle w:val="Normal"/>
              <w:spacing w:lineRule="exact" w:line="400"/>
              <w:ind w:left="425" w:hanging="425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貳、</w:t>
            </w:r>
            <w:r>
              <w:rPr>
                <w:rFonts w:cs="標楷體" w:eastAsia="標楷體"/>
                <w:color w:val="000000"/>
              </w:rPr>
              <w:t>病人未確定診斷前，因未適當防護造成暴露而致工作人員可能感染之虞</w:t>
            </w:r>
            <w:r>
              <w:rPr>
                <w:rFonts w:ascii="新細明體" w:hAnsi="新細明體" w:cs="新細明體"/>
                <w:color w:val="000000"/>
              </w:rPr>
              <w:t>。</w:t>
            </w:r>
          </w:p>
          <w:p>
            <w:pPr>
              <w:pStyle w:val="HTMLPreformatted"/>
              <w:tabs>
                <w:tab w:val="left" w:pos="672" w:leader="none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exact" w:line="400"/>
              <w:ind w:left="480" w:hanging="0"/>
              <w:jc w:val="both"/>
              <w:rPr>
                <w:rFonts w:ascii="標楷體" w:hAnsi="標楷體" w:eastAsia="標楷體" w:cs="標楷體"/>
                <w:color w:val="C00000"/>
              </w:rPr>
            </w:pPr>
            <w:r>
              <w:rPr>
                <w:rFonts w:eastAsia="標楷體" w:cs="標楷體" w:ascii="標楷體" w:hAnsi="標楷體"/>
                <w:color w:val="C00000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壹、適用範圍</w:t>
            </w:r>
          </w:p>
          <w:p>
            <w:pPr>
              <w:pStyle w:val="Normal"/>
              <w:spacing w:lineRule="exact" w:line="400"/>
              <w:rPr>
                <w:rFonts w:ascii="新細明體" w:hAnsi="新細明體" w:cs="新細明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經醫師診斷或懷疑遭受流感病毒</w:t>
            </w:r>
            <w:r>
              <w:rPr>
                <w:rFonts w:eastAsia="標楷體" w:cs="標楷體"/>
                <w:color w:val="000000"/>
              </w:rPr>
              <w:t>(Influenza  virus)</w:t>
            </w:r>
            <w:r>
              <w:rPr>
                <w:rFonts w:cs="標楷體" w:eastAsia="標楷體"/>
                <w:color w:val="000000"/>
              </w:rPr>
              <w:t>感染時應以此指引</w:t>
            </w:r>
            <w:r>
              <w:rPr>
                <w:rFonts w:ascii="新細明體" w:hAnsi="新細明體" w:cs="新細明體"/>
                <w:color w:val="000000"/>
              </w:rPr>
              <w:t>。</w:t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貳、適用執行人員</w:t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工作人員、病人及家屬</w:t>
            </w:r>
          </w:p>
          <w:p>
            <w:pPr>
              <w:pStyle w:val="Normal"/>
              <w:spacing w:lineRule="exact" w:line="400"/>
              <w:ind w:hanging="26"/>
              <w:textAlignment w:val="baseline"/>
              <w:rPr>
                <w:rFonts w:ascii="標楷體" w:hAnsi="標楷體" w:eastAsia="標楷體" w:cs="標楷體"/>
                <w:color w:val="C00000"/>
              </w:rPr>
            </w:pPr>
            <w:r>
              <w:rPr>
                <w:rFonts w:eastAsia="標楷體" w:cs="標楷體" w:ascii="標楷體" w:hAnsi="標楷體"/>
                <w:color w:val="C00000"/>
              </w:rPr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壹、儀器類</w:t>
            </w:r>
          </w:p>
          <w:p>
            <w:pPr>
              <w:pStyle w:val="Normal"/>
              <w:spacing w:lineRule="exact" w:line="400"/>
              <w:ind w:left="461" w:hanging="46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</w:t>
            </w:r>
            <w:r>
              <w:rPr>
                <w:rFonts w:eastAsia="標楷體"/>
              </w:rPr>
              <w:t>用物盡量採即棄式，不能即棄者，應經過消毒或滅菌才可供下一位病人使用</w:t>
            </w:r>
          </w:p>
          <w:p>
            <w:pPr>
              <w:pStyle w:val="Normal"/>
              <w:spacing w:lineRule="exact" w:line="400"/>
              <w:ind w:left="461" w:hanging="46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</w:t>
            </w:r>
            <w:r>
              <w:rPr>
                <w:rFonts w:eastAsia="標楷體"/>
              </w:rPr>
              <w:t>應有專用氧療、噴霧、呼吸器，呼吸監控儀器，如脈動式氧合監測器等，如未固定於病室，應安排於最後一位使用。上述醫療物品於不同病人間或解除隔離後，應以</w:t>
            </w:r>
            <w:r>
              <w:rPr>
                <w:rFonts w:eastAsia="標楷體"/>
              </w:rPr>
              <w:t>75%</w:t>
            </w:r>
            <w:r>
              <w:rPr>
                <w:rFonts w:eastAsia="標楷體"/>
              </w:rPr>
              <w:t>酒精擦拭或依產品使用說明執行消毒。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貳、設備類</w:t>
            </w:r>
          </w:p>
          <w:p>
            <w:pPr>
              <w:pStyle w:val="Normal"/>
              <w:spacing w:lineRule="exact" w:line="400"/>
              <w:ind w:left="461" w:hanging="46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</w:t>
            </w:r>
            <w:r>
              <w:rPr>
                <w:rFonts w:eastAsia="標楷體"/>
              </w:rPr>
              <w:t>病人隔離期間儘量減少不必要的物品置放於病室內，從病室取出物品均須清潔與消毒，才可以給下一位病人使用。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</w:t>
            </w:r>
            <w:r>
              <w:rPr>
                <w:rFonts w:eastAsia="標楷體"/>
              </w:rPr>
              <w:t>病歷禁止攜入隔離病室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三、</w:t>
            </w:r>
            <w:r>
              <w:rPr>
                <w:rFonts w:eastAsia="標楷體"/>
              </w:rPr>
              <w:t>工作車不得推入隔離病室。</w:t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1860" w:leader="none"/>
              </w:tabs>
              <w:spacing w:lineRule="exact" w:line="32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hd w:fill="FFFFFF" w:val="clear"/>
              <w:spacing w:lineRule="exact" w:line="32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呼吸治療科新型流感及高傳染性疾病照護標準作業規範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5-2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6935"/>
        <w:gridCol w:w="2425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6651" w:hRule="atLeast"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貳</w:t>
            </w:r>
          </w:p>
        </w:tc>
        <w:tc>
          <w:tcPr>
            <w:tcW w:w="6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0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執行前</w:t>
            </w:r>
          </w:p>
          <w:p>
            <w:pPr>
              <w:pStyle w:val="Normal"/>
              <w:tabs>
                <w:tab w:val="clear" w:pos="480"/>
                <w:tab w:val="left" w:pos="5269" w:leader="none"/>
              </w:tabs>
              <w:snapToGrid w:val="false"/>
              <w:spacing w:lineRule="exact" w:line="400"/>
              <w:ind w:left="2400" w:hanging="2400"/>
              <w:jc w:val="both"/>
              <w:rPr/>
            </w:pPr>
            <w:r>
              <w:rPr>
                <w:rFonts w:eastAsia="標楷體"/>
                <w:color w:val="000000"/>
              </w:rPr>
              <w:t>一、依</w:t>
            </w:r>
            <w:hyperlink r:id="rId2"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處理醫囑標準作業規範</w:t>
              </w:r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(N26001)</w:t>
              </w:r>
            </w:hyperlink>
            <w:r>
              <w:rPr>
                <w:rFonts w:eastAsia="標楷體"/>
                <w:color w:val="000000"/>
              </w:rPr>
              <w:t>醫囑執行及處理。</w:t>
            </w:r>
          </w:p>
          <w:p>
            <w:pPr>
              <w:pStyle w:val="Normal"/>
              <w:shd w:fill="FFFFFF" w:val="clear"/>
              <w:tabs>
                <w:tab w:val="clear" w:pos="480"/>
                <w:tab w:val="left" w:pos="5269" w:leader="none"/>
              </w:tabs>
              <w:snapToGrid w:val="false"/>
              <w:spacing w:lineRule="exact" w:line="400"/>
              <w:jc w:val="both"/>
              <w:rPr/>
            </w:pPr>
            <w:r>
              <w:rPr>
                <w:rFonts w:eastAsia="標楷體"/>
                <w:color w:val="000000"/>
              </w:rPr>
              <w:t>二、依</w:t>
            </w:r>
            <w:hyperlink r:id="rId3"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/>
                  <w:color w:val="0000FF"/>
                  <w:u w:val="single"/>
                </w:rPr>
                <w:t>(L05328)</w:t>
              </w:r>
            </w:hyperlink>
            <w:r>
              <w:rPr>
                <w:rFonts w:eastAsia="標楷體"/>
                <w:color w:val="000000"/>
              </w:rPr>
              <w:t>執行洗手。</w:t>
            </w:r>
          </w:p>
          <w:p>
            <w:pPr>
              <w:pStyle w:val="Normal"/>
              <w:tabs>
                <w:tab w:val="clear" w:pos="480"/>
                <w:tab w:val="left" w:pos="5269" w:leader="none"/>
              </w:tabs>
              <w:snapToGrid w:val="false"/>
              <w:spacing w:lineRule="exact" w:line="400"/>
              <w:jc w:val="both"/>
              <w:rPr>
                <w:rFonts w:eastAsia="標楷體" w:cs="標楷體"/>
              </w:rPr>
            </w:pPr>
            <w:r>
              <w:rPr>
                <w:rFonts w:eastAsia="標楷體"/>
                <w:color w:val="000000"/>
              </w:rPr>
              <w:t>三、</w:t>
            </w:r>
            <w:r>
              <w:rPr>
                <w:rFonts w:cs="標楷體" w:eastAsia="標楷體"/>
              </w:rPr>
              <w:t>進入隔離室前，必須正確執行消毒性洗手後，穿戴全套式防護配備穿程序</w:t>
            </w:r>
          </w:p>
          <w:p>
            <w:pPr>
              <w:pStyle w:val="Normal"/>
              <w:spacing w:lineRule="auto" w:line="360"/>
              <w:rPr>
                <w:rFonts w:eastAsia="標楷體"/>
              </w:rPr>
            </w:pPr>
            <w:r>
              <w:rPr>
                <w:lang w:val="zh-TW" w:eastAsia="zh-TW"/>
              </w:rPr>
              <w:drawing>
                <wp:inline distT="0" distB="0" distL="0" distR="0">
                  <wp:extent cx="3589020" cy="3343275"/>
                  <wp:effectExtent l="0" t="0" r="0" b="0"/>
                  <wp:docPr id="6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" t="-3" r="-2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02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exact" w:line="40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執行中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textAlignment w:val="baseline"/>
              <w:rPr>
                <w:rFonts w:eastAsia="標楷體"/>
                <w:kern w:val="0"/>
              </w:rPr>
            </w:pPr>
            <w:r>
              <w:rPr>
                <w:rFonts w:eastAsia="標楷體"/>
                <w:color w:val="000000"/>
                <w:kern w:val="0"/>
                <w:sz w:val="23"/>
                <w:szCs w:val="23"/>
              </w:rPr>
              <w:t>依</w:t>
            </w:r>
            <w:hyperlink r:id="rId5">
              <w:r>
                <w:rPr>
                  <w:rStyle w:val="InternetLink"/>
                  <w:rFonts w:eastAsia="標楷體"/>
                  <w:color w:val="0000FF"/>
                  <w:kern w:val="0"/>
                  <w:sz w:val="23"/>
                  <w:szCs w:val="23"/>
                  <w:u w:val="single"/>
                </w:rPr>
                <w:t>病人安全作業管理準則</w:t>
              </w:r>
              <w:r>
                <w:rPr>
                  <w:rStyle w:val="InternetLink"/>
                  <w:rFonts w:eastAsia="標楷體"/>
                  <w:color w:val="0000FF"/>
                  <w:kern w:val="0"/>
                  <w:sz w:val="23"/>
                  <w:szCs w:val="23"/>
                  <w:u w:val="single"/>
                </w:rPr>
                <w:t>(L03507)</w:t>
              </w:r>
            </w:hyperlink>
            <w:r>
              <w:rPr>
                <w:rFonts w:eastAsia="標楷體"/>
                <w:color w:val="000000"/>
                <w:kern w:val="0"/>
                <w:sz w:val="23"/>
                <w:szCs w:val="23"/>
              </w:rPr>
              <w:t>執行病人辨識。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textAlignment w:val="baseline"/>
              <w:rPr/>
            </w:pPr>
            <w:r>
              <w:rPr>
                <w:rFonts w:eastAsia="標楷體"/>
                <w:color w:val="000000"/>
                <w:kern w:val="0"/>
              </w:rPr>
              <w:t>向病人和家屬說明</w:t>
            </w:r>
            <w:r>
              <w:rPr>
                <w:rFonts w:eastAsia="標楷體"/>
                <w:color w:val="000000"/>
                <w:kern w:val="0"/>
              </w:rPr>
              <w:t>照護</w:t>
            </w:r>
            <w:r>
              <w:rPr>
                <w:rFonts w:eastAsia="標楷體"/>
                <w:color w:val="000000"/>
                <w:kern w:val="0"/>
              </w:rPr>
              <w:t>目的及過程。</w:t>
            </w:r>
          </w:p>
          <w:p>
            <w:pPr>
              <w:pStyle w:val="Normal"/>
              <w:spacing w:lineRule="exact" w:line="400"/>
              <w:textAlignment w:val="baseline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執行後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依</w:t>
            </w:r>
            <w:hyperlink r:id="rId6">
              <w:r>
                <w:rPr>
                  <w:rStyle w:val="InternetLink"/>
                  <w:rFonts w:ascii="標楷體" w:hAnsi="標楷體" w:cs="標楷體" w:eastAsia="標楷體"/>
                  <w:color w:val="0000FF"/>
                  <w:u w:val="single"/>
                </w:rPr>
                <w:t>手部衛生感染管制作業要點</w:t>
              </w:r>
              <w:r>
                <w:rPr>
                  <w:rStyle w:val="InternetLink"/>
                  <w:rFonts w:eastAsia="標楷體" w:cs="標楷體" w:ascii="標楷體" w:hAnsi="標楷體"/>
                  <w:color w:val="0000FF"/>
                  <w:u w:val="single"/>
                </w:rPr>
                <w:t>(L05328)</w:t>
              </w:r>
            </w:hyperlink>
            <w:r>
              <w:rPr>
                <w:rFonts w:ascii="標楷體" w:hAnsi="標楷體" w:cs="標楷體" w:eastAsia="標楷體"/>
              </w:rPr>
              <w:t>執行洗手。</w:t>
            </w:r>
          </w:p>
          <w:p>
            <w:pPr>
              <w:pStyle w:val="Normal"/>
              <w:spacing w:lineRule="exact" w:line="400"/>
              <w:jc w:val="both"/>
              <w:rPr>
                <w:rFonts w:eastAsia="標楷體"/>
              </w:rPr>
            </w:pPr>
            <w:r>
              <w:rPr>
                <w:rFonts w:cs="標楷體" w:eastAsia="標楷體"/>
                <w:u w:val="single"/>
              </w:rPr>
              <w:t>出隔離室時依正確穿脫步驟卸下防護配備</w:t>
            </w:r>
            <w:r>
              <w:rPr>
                <w:rFonts w:cs="標楷體" w:eastAsia="標楷體"/>
              </w:rPr>
              <w:t>：</w:t>
            </w:r>
          </w:p>
          <w:p>
            <w:pPr>
              <w:pStyle w:val="Normal"/>
              <w:spacing w:lineRule="auto" w:line="360"/>
              <w:jc w:val="both"/>
              <w:rPr>
                <w:rFonts w:ascii="標楷體" w:hAnsi="標楷體" w:eastAsia="標楷體" w:cs="新細明體"/>
              </w:rPr>
            </w:pPr>
            <w:r>
              <w:rPr>
                <w:lang w:val="zh-TW" w:eastAsia="zh-TW"/>
              </w:rPr>
              <w:drawing>
                <wp:inline distT="0" distB="0" distL="0" distR="0">
                  <wp:extent cx="4090035" cy="3014980"/>
                  <wp:effectExtent l="0" t="0" r="0" b="0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2" t="-3" r="-2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301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00"/>
              <w:ind w:left="120" w:hanging="120"/>
              <w:rPr>
                <w:rFonts w:eastAsia="標楷體"/>
              </w:rPr>
            </w:pPr>
            <w:r>
              <w:rPr>
                <w:rFonts w:eastAsia="標楷體"/>
              </w:rPr>
              <w:t xml:space="preserve">1. </w:t>
            </w:r>
            <w:r>
              <w:rPr>
                <w:rFonts w:eastAsia="標楷體"/>
              </w:rPr>
              <w:t>遵循標準防護措施與飛沫傳播防護措施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spacing w:lineRule="exact" w:line="400"/>
              <w:ind w:left="120" w:hanging="12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cs="標楷體" w:eastAsia="標楷體"/>
              </w:rPr>
              <w:t>病人須使用呼吸器時，其呼吸器配備之裝置必須使用即棄式甦醒器</w:t>
            </w:r>
            <w:r>
              <w:rPr>
                <w:rFonts w:eastAsia="標楷體"/>
              </w:rPr>
              <w:t>(Disposable resuscitator)</w:t>
            </w:r>
            <w:r>
              <w:rPr>
                <w:rFonts w:cs="標楷體" w:eastAsia="標楷體"/>
              </w:rPr>
              <w:t>，吸氣及吐氣端應裝即棄式過濾器、即棄式管路</w:t>
            </w:r>
            <w:r>
              <w:rPr>
                <w:rFonts w:eastAsia="標楷體"/>
              </w:rPr>
              <w:t>(Disposable tube)</w:t>
            </w:r>
            <w:r>
              <w:rPr>
                <w:rFonts w:cs="標楷體" w:eastAsia="標楷體"/>
              </w:rPr>
              <w:t>並加</w:t>
            </w:r>
            <w:r>
              <w:rPr>
                <w:rFonts w:eastAsia="標楷體"/>
              </w:rPr>
              <w:t>Thermo-HEPA</w:t>
            </w:r>
            <w:r>
              <w:rPr>
                <w:rFonts w:cs="標楷體" w:eastAsia="標楷體"/>
              </w:rPr>
              <w:t>及人工鼻。</w:t>
            </w:r>
          </w:p>
          <w:p>
            <w:pPr>
              <w:pStyle w:val="Normal"/>
              <w:spacing w:lineRule="exact" w:line="400"/>
              <w:ind w:left="120" w:hanging="12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cs="標楷體" w:eastAsia="標楷體"/>
              </w:rPr>
              <w:t>呼吸器使用完畢時，必須將即棄式甦醒器、即棄式過濾器、即棄式管路、</w:t>
            </w:r>
            <w:r>
              <w:rPr>
                <w:rFonts w:eastAsia="標楷體"/>
              </w:rPr>
              <w:t>Thermo-HEPA</w:t>
            </w:r>
            <w:r>
              <w:rPr>
                <w:rFonts w:cs="標楷體" w:eastAsia="標楷體"/>
              </w:rPr>
              <w:t>及人工鼻等器材以感染性廢棄物處理，呼吸器則以</w:t>
            </w:r>
            <w:r>
              <w:rPr>
                <w:rFonts w:eastAsia="標楷體"/>
              </w:rPr>
              <w:t>0.5%</w:t>
            </w:r>
            <w:r>
              <w:rPr>
                <w:rFonts w:cs="標楷體" w:eastAsia="標楷體"/>
              </w:rPr>
              <w:t>濃度漂白水擦拭消毒後靜置至少</w:t>
            </w:r>
            <w:r>
              <w:rPr>
                <w:rFonts w:eastAsia="標楷體"/>
              </w:rPr>
              <w:t>30</w:t>
            </w:r>
            <w:r>
              <w:rPr>
                <w:rFonts w:cs="標楷體" w:eastAsia="標楷體"/>
              </w:rPr>
              <w:t>分鐘。</w:t>
            </w:r>
          </w:p>
          <w:p>
            <w:pPr>
              <w:pStyle w:val="Normal"/>
              <w:spacing w:lineRule="exact" w:line="40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cs="標楷體" w:eastAsia="標楷體"/>
              </w:rPr>
              <w:t>插管之病人須抽痰時，必須採</w:t>
            </w:r>
            <w:r>
              <w:rPr>
                <w:rFonts w:eastAsia="標楷體"/>
              </w:rPr>
              <w:t>In-line Close Suction</w:t>
            </w:r>
            <w:r>
              <w:rPr>
                <w:rFonts w:cs="標楷體" w:eastAsia="標楷體"/>
              </w:rPr>
              <w:t>，以減少因病人咳嗽致使病毒於空氣中散播之機會。</w:t>
            </w:r>
          </w:p>
          <w:p>
            <w:pPr>
              <w:pStyle w:val="Normal"/>
              <w:spacing w:lineRule="exact" w:line="40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cs="標楷體" w:eastAsia="標楷體"/>
              </w:rPr>
              <w:t>氧氣治療、藥物吸入、呼吸器管路之使用，必須採單一病人使用之即棄式器材，使用後須以感染性廢棄物處理。</w:t>
            </w:r>
          </w:p>
          <w:p>
            <w:pPr>
              <w:pStyle w:val="Normal"/>
              <w:spacing w:lineRule="exact" w:line="40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cs="標楷體" w:eastAsia="標楷體"/>
              </w:rPr>
              <w:t>使用呼吸器病人轉床或轉送時，須採運送型呼吸器使用即棄式管路加裝</w:t>
            </w:r>
            <w:r>
              <w:rPr>
                <w:rFonts w:eastAsia="標楷體"/>
              </w:rPr>
              <w:t>HEPA Filter</w:t>
            </w:r>
            <w:r>
              <w:rPr>
                <w:rFonts w:cs="標楷體" w:eastAsia="標楷體"/>
              </w:rPr>
              <w:t>運送之。</w:t>
            </w:r>
          </w:p>
          <w:p>
            <w:pPr>
              <w:pStyle w:val="Normal"/>
              <w:spacing w:lineRule="exact" w:line="400"/>
              <w:ind w:left="24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cs="標楷體" w:eastAsia="標楷體"/>
              </w:rPr>
              <w:t>必須採集中</w:t>
            </w:r>
            <w:r>
              <w:rPr>
                <w:rFonts w:cs="標楷體" w:eastAsia="標楷體"/>
              </w:rPr>
              <w:t>照</w:t>
            </w:r>
            <w:r>
              <w:rPr>
                <w:rFonts w:cs="標楷體" w:eastAsia="標楷體"/>
              </w:rPr>
              <w:t>護執行治療，以降低進出隔離室之頻率。</w:t>
            </w:r>
          </w:p>
          <w:p>
            <w:pPr>
              <w:pStyle w:val="Style14"/>
              <w:spacing w:lineRule="exact" w:line="40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68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right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 xml:space="preserve">月  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960"/>
        <w:jc w:val="center"/>
        <w:rPr/>
      </w:pPr>
      <w:r>
        <w:rPr>
          <w:rFonts w:eastAsia="標楷體"/>
          <w:sz w:val="32"/>
          <w:u w:val="single"/>
        </w:rPr>
        <w:t>呼吸治療科新型流感及高傳染性疾病照護標準作業規範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三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AUNW00/AUPW00-A038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5                                                               </w:t>
      </w:r>
      <w:r>
        <w:rPr>
          <w:rFonts w:ascii="標楷體" w:hAnsi="標楷體" w:eastAsia="標楷體"/>
          <w:sz w:val="28"/>
        </w:rPr>
        <w:t>頁   數：</w:t>
      </w:r>
      <w:r>
        <w:rPr>
          <w:rFonts w:eastAsia="標楷體" w:ascii="標楷體" w:hAnsi="標楷體"/>
          <w:sz w:val="28"/>
        </w:rPr>
        <w:t xml:space="preserve">5-4     </w:t>
      </w:r>
      <w:r>
        <w:rPr>
          <w:rFonts w:eastAsia="標楷體" w:cs="標楷體" w:ascii="標楷體" w:hAnsi="標楷體"/>
          <w:sz w:val="28"/>
        </w:rPr>
        <w:t xml:space="preserve">           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88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z w:val="28"/>
              </w:rPr>
              <w:t xml:space="preserve">  </w:t>
            </w:r>
            <w:r>
              <w:rPr>
                <w:rFonts w:ascii="標楷體" w:hAnsi="標楷體" w:eastAsia="標楷體"/>
                <w:sz w:val="28"/>
              </w:rPr>
              <w:t xml:space="preserve">異 常 狀 況   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 生 原 因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理 對 策</w:t>
            </w:r>
          </w:p>
        </w:tc>
      </w:tr>
      <w:tr>
        <w:trPr>
          <w:trHeight w:val="5800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手套破掉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護目鏡掉了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動作太大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固定不良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出病室（依出隔離室正確穿脫步驟卸下防護配備）重新著裝再進入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06 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呼吸治療科新型流感及高傳染性疾病照護標準作業規範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9840" w:hanging="0"/>
        <w:rPr/>
      </w:pPr>
      <w:r>
        <w:rPr>
          <w:rFonts w:ascii="標楷體" w:hAnsi="標楷體" w:cs="標楷體" w:eastAsia="標楷體"/>
          <w:sz w:val="32"/>
        </w:rPr>
        <w:t xml:space="preserve">     </w:t>
      </w:r>
      <w:r>
        <w:rPr>
          <w:rFonts w:ascii="標楷體" w:hAnsi="標楷體" w:cs="標楷體" w:eastAsia="標楷體"/>
          <w:sz w:val="28"/>
        </w:rPr>
        <w:t xml:space="preserve">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AUNW00/AUPW00-A038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5-5 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高雄長庚醫院感染管制委員會</w:t>
            </w:r>
            <w:r>
              <w:rPr>
                <w:rFonts w:eastAsia="標楷體"/>
              </w:rPr>
              <w:t>-SARS(</w:t>
            </w:r>
            <w:r>
              <w:rPr>
                <w:rFonts w:cs="標楷體" w:eastAsia="標楷體"/>
              </w:rPr>
              <w:t>含疑似</w:t>
            </w:r>
            <w:r>
              <w:rPr>
                <w:rFonts w:eastAsia="標楷體"/>
              </w:rPr>
              <w:t>)</w:t>
            </w:r>
            <w:r>
              <w:rPr>
                <w:rFonts w:cs="標楷體" w:eastAsia="標楷體"/>
              </w:rPr>
              <w:t>病患感染管制指引。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高雄長庚醫院感染管制委員會</w:t>
            </w:r>
            <w:r>
              <w:rPr>
                <w:rFonts w:eastAsia="標楷體"/>
              </w:rPr>
              <w:t>-</w:t>
            </w:r>
            <w:r>
              <w:rPr>
                <w:rFonts w:cs="標楷體" w:eastAsia="標楷體"/>
              </w:rPr>
              <w:t>嚴重呼吸道症候群（</w:t>
            </w:r>
            <w:r>
              <w:rPr>
                <w:rFonts w:eastAsia="標楷體"/>
              </w:rPr>
              <w:t>SARS</w:t>
            </w:r>
            <w:r>
              <w:rPr>
                <w:rFonts w:cs="標楷體" w:eastAsia="標楷體"/>
              </w:rPr>
              <w:t>）感染管制作業準則。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高雄長庚醫院感染管制委員會</w:t>
            </w:r>
            <w:r>
              <w:rPr>
                <w:rFonts w:eastAsia="標楷體" w:cs="標楷體"/>
              </w:rPr>
              <w:t>-</w:t>
            </w:r>
            <w:r>
              <w:rPr>
                <w:rFonts w:eastAsia="標楷體"/>
              </w:rPr>
              <w:t>流感感染管制照護指引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中華民國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 xml:space="preserve">107 </w:t>
            </w:r>
            <w:r>
              <w:rPr>
                <w:rFonts w:eastAsia="標楷體"/>
              </w:rPr>
              <w:t>年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 xml:space="preserve">09 </w:t>
            </w:r>
            <w:r>
              <w:rPr>
                <w:rFonts w:eastAsia="標楷體"/>
              </w:rPr>
              <w:t>日第七次修訂</w:t>
            </w:r>
            <w:r>
              <w:rPr>
                <w:rFonts w:eastAsia="標楷體"/>
              </w:rPr>
              <w:t>)</w:t>
            </w:r>
            <w:r>
              <w:rPr>
                <w:rFonts w:eastAsia="標楷體" w:cs="標楷體"/>
              </w:rPr>
              <w:t xml:space="preserve"> 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06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00"/>
    <w:family w:val="swiss"/>
    <w:pitch w:val="variable"/>
  </w:font>
  <w:font w:name="標楷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auto"/>
    <w:pitch w:val="variable"/>
  </w:font>
  <w:font w:name="新細明體">
    <w:charset w:val="88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510" w:hanging="510"/>
      </w:pPr>
      <w:rPr/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59" w:hanging="1559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新細明體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新細明體"/>
      <w:b/>
      <w:bCs/>
      <w:kern w:val="0"/>
      <w:sz w:val="36"/>
      <w:szCs w:val="36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color w:val="00000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color w:val="000000"/>
    </w:rPr>
  </w:style>
  <w:style w:type="character" w:styleId="WW8Num7z0">
    <w:name w:val="WW8Num7z0"/>
    <w:qFormat/>
    <w:rPr>
      <w:rFonts w:cs="Times New Roman"/>
      <w:u w:val="single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標楷體" w:hAnsi="標楷體"/>
      <w:color w:val="000000"/>
      <w:sz w:val="20"/>
    </w:rPr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character" w:styleId="Style13">
    <w:name w:val=" 字元 字元"/>
    <w:qFormat/>
    <w:rPr>
      <w:rFonts w:ascii="Arial Unicode MS" w:hAnsi="Arial Unicode MS" w:eastAsia="Arial Unicode MS" w:cs="Wingdings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Arial Unicode MS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4">
    <w:name w:val="註解文字"/>
    <w:basedOn w:val="Normal"/>
    <w:qFormat/>
    <w:pPr/>
    <w:rPr/>
  </w:style>
  <w:style w:type="paragraph" w:styleId="HTMLPreformatted">
    <w:name w:val="HTML Preformatted"/>
    <w:basedOn w:val="Normal"/>
    <w:qFormat/>
    <w:pPr>
      <w:widowControl/>
      <w:tabs>
        <w:tab w:val="clear" w:pos="48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Arial Unicode MS" w:hAnsi="Arial Unicode MS" w:eastAsia="Arial Unicode MS" w:cs="Wingdings"/>
      <w:kern w:val="0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nkwww.cgmh.org.tw/webwork/non/non_log.asp?serialno=01319&amp;nsno=N26001" TargetMode="External"/><Relationship Id="rId3" Type="http://schemas.openxmlformats.org/officeDocument/2006/relationships/hyperlink" Target="http://cghasp.cgmh.org.tw/rule/rule_10_04/070320004_upload_pdf.pdf" TargetMode="External"/><Relationship Id="rId4" Type="http://schemas.openxmlformats.org/officeDocument/2006/relationships/image" Target="media/image1.png"/><Relationship Id="rId5" Type="http://schemas.openxmlformats.org/officeDocument/2006/relationships/hyperlink" Target="http://lnkwww.cgmh.org.tw/webwork/non/non_log.asp?serialno=01274&amp;nsno=N11071" TargetMode="External"/><Relationship Id="rId6" Type="http://schemas.openxmlformats.org/officeDocument/2006/relationships/hyperlink" Target="http://cghasp.cgmh.org.tw/rule/rule_10_04/070320004_upload_pdf.pdf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2019-06-08T13:54:00Z</dcterms:created>
  <dc:creator>CGMH</dc:creator>
  <dc:description/>
  <cp:keywords/>
  <dc:language>zh-TW</dc:language>
  <cp:lastModifiedBy>陸蔓綺</cp:lastModifiedBy>
  <cp:lastPrinted>2009-01-13T09:32:00Z</cp:lastPrinted>
  <dcterms:modified xsi:type="dcterms:W3CDTF">2019-06-19T14:25:00Z</dcterms:modified>
  <cp:revision>3</cp:revision>
  <dc:subject/>
  <dc:title>最大吸氣壓最大吐氣壓技術評核表標準作業規範(一)</dc:title>
</cp:coreProperties>
</file>